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21EF" w:rsidRPr="00EF76A8" w:rsidRDefault="002E21EF" w:rsidP="002E21EF">
      <w:pPr>
        <w:pageBreakBefore/>
        <w:shd w:val="clear" w:color="auto" w:fill="CCCCCC"/>
        <w:tabs>
          <w:tab w:val="right" w:pos="9639"/>
        </w:tabs>
        <w:jc w:val="center"/>
        <w:rPr>
          <w:b/>
          <w:sz w:val="6"/>
        </w:rPr>
      </w:pPr>
    </w:p>
    <w:p w:rsidR="002E21EF" w:rsidRDefault="002E21EF" w:rsidP="002E21EF">
      <w:pPr>
        <w:shd w:val="clear" w:color="auto" w:fill="CCCCCC"/>
        <w:tabs>
          <w:tab w:val="right" w:pos="9639"/>
        </w:tabs>
        <w:jc w:val="center"/>
        <w:rPr>
          <w:rFonts w:ascii="Arial Narrow" w:hAnsi="Arial Narrow" w:cs="Arial"/>
          <w:b/>
          <w:bCs/>
          <w:sz w:val="26"/>
          <w:szCs w:val="26"/>
        </w:rPr>
      </w:pPr>
      <w:r w:rsidRPr="006B543D">
        <w:rPr>
          <w:rFonts w:ascii="Arial Narrow" w:hAnsi="Arial Narrow" w:cs="Arial"/>
          <w:i/>
          <w:iCs/>
          <w:sz w:val="18"/>
          <w:szCs w:val="18"/>
        </w:rPr>
        <w:t xml:space="preserve">Buch </w:t>
      </w:r>
      <w:proofErr w:type="gramStart"/>
      <w:r w:rsidRPr="006B543D">
        <w:rPr>
          <w:rFonts w:ascii="Arial Narrow" w:hAnsi="Arial Narrow" w:cs="Arial"/>
          <w:i/>
          <w:iCs/>
          <w:sz w:val="18"/>
          <w:szCs w:val="18"/>
        </w:rPr>
        <w:t>1</w:t>
      </w:r>
      <w:r>
        <w:rPr>
          <w:rFonts w:ascii="Arial Narrow" w:hAnsi="Arial Narrow" w:cs="Arial"/>
          <w:i/>
          <w:iCs/>
          <w:sz w:val="18"/>
          <w:szCs w:val="18"/>
        </w:rPr>
        <w:t>3</w:t>
      </w:r>
      <w:r w:rsidRPr="006B543D">
        <w:rPr>
          <w:rFonts w:ascii="Arial Narrow" w:hAnsi="Arial Narrow" w:cs="Arial"/>
          <w:i/>
          <w:iCs/>
          <w:sz w:val="18"/>
          <w:szCs w:val="18"/>
        </w:rPr>
        <w:t>.</w:t>
      </w:r>
      <w:r>
        <w:rPr>
          <w:rFonts w:ascii="Arial Narrow" w:hAnsi="Arial Narrow" w:cs="Arial"/>
          <w:i/>
          <w:iCs/>
          <w:sz w:val="18"/>
          <w:szCs w:val="18"/>
        </w:rPr>
        <w:t>9</w:t>
      </w:r>
      <w:r w:rsidRPr="00A33DD5">
        <w:rPr>
          <w:rFonts w:ascii="Arial" w:hAnsi="Arial" w:cs="Arial"/>
          <w:i/>
          <w:iCs/>
          <w:sz w:val="18"/>
          <w:szCs w:val="18"/>
        </w:rPr>
        <w:t xml:space="preserve">  </w:t>
      </w:r>
      <w:r>
        <w:rPr>
          <w:rFonts w:ascii="Arial Narrow" w:hAnsi="Arial Narrow" w:cs="Arial"/>
          <w:b/>
          <w:bCs/>
          <w:sz w:val="26"/>
          <w:szCs w:val="26"/>
        </w:rPr>
        <w:t>Gentests</w:t>
      </w:r>
      <w:proofErr w:type="gramEnd"/>
      <w:r>
        <w:rPr>
          <w:rFonts w:ascii="Arial Narrow" w:hAnsi="Arial Narrow" w:cs="Arial"/>
          <w:b/>
          <w:bCs/>
          <w:sz w:val="26"/>
          <w:szCs w:val="26"/>
        </w:rPr>
        <w:t xml:space="preserve"> und Kenntnis der Familiengeschichte ermöglichen eine genetische Beratung</w:t>
      </w:r>
    </w:p>
    <w:p w:rsidR="002E21EF" w:rsidRPr="00A33DD5" w:rsidRDefault="002E21EF" w:rsidP="002E21EF">
      <w:pPr>
        <w:shd w:val="clear" w:color="auto" w:fill="CCCCCC"/>
        <w:tabs>
          <w:tab w:val="right" w:pos="9639"/>
        </w:tabs>
        <w:jc w:val="center"/>
        <w:rPr>
          <w:rFonts w:ascii="Arial Narrow" w:hAnsi="Arial Narrow" w:cs="Arial"/>
          <w:b/>
          <w:bCs/>
          <w:sz w:val="6"/>
          <w:szCs w:val="6"/>
        </w:rPr>
      </w:pPr>
    </w:p>
    <w:p w:rsidR="002E21EF" w:rsidRPr="00AF3D03" w:rsidRDefault="002E21EF" w:rsidP="002E21EF">
      <w:pPr>
        <w:tabs>
          <w:tab w:val="left" w:pos="284"/>
        </w:tabs>
        <w:rPr>
          <w:rFonts w:ascii="Times" w:hAnsi="Times"/>
          <w:sz w:val="8"/>
          <w:szCs w:val="8"/>
        </w:rPr>
      </w:pPr>
    </w:p>
    <w:p w:rsidR="002E21EF" w:rsidRDefault="002E21EF" w:rsidP="002E21EF">
      <w:pPr>
        <w:tabs>
          <w:tab w:val="left" w:pos="284"/>
        </w:tabs>
        <w:spacing w:before="100"/>
        <w:jc w:val="both"/>
        <w:rPr>
          <w:rFonts w:ascii="Times" w:hAnsi="Times"/>
        </w:rPr>
      </w:pPr>
      <w:r>
        <w:rPr>
          <w:rFonts w:ascii="Times" w:hAnsi="Times"/>
        </w:rPr>
        <w:t xml:space="preserve">Mit einem Gentest kann man feststellen lassen, welchen Genotyp man bezüglich eines bestimmten Gens hat, d.h. welche Allele eines Gens man aufweist. Für eine genetische Beratung kann dies sehr wichtig sein. Im Folgenden sind sechs Fälle beschrieben, für die eine genetische Beratung erteilt werden soll. </w:t>
      </w:r>
      <w:r w:rsidRPr="00227205">
        <w:rPr>
          <w:rFonts w:ascii="Times" w:hAnsi="Times"/>
          <w:color w:val="FF37EF"/>
        </w:rPr>
        <w:t>Für Fall A ist eine Musterberatung vorgegeben</w:t>
      </w:r>
      <w:r>
        <w:rPr>
          <w:rFonts w:ascii="Times" w:hAnsi="Times"/>
        </w:rPr>
        <w:t xml:space="preserve">. Bearbeite die Fälle B bis F entsprechend. </w:t>
      </w:r>
    </w:p>
    <w:p w:rsidR="002E21EF" w:rsidRPr="002728B7" w:rsidRDefault="002E21EF" w:rsidP="002E21EF">
      <w:pPr>
        <w:tabs>
          <w:tab w:val="left" w:pos="198"/>
          <w:tab w:val="right" w:pos="9632"/>
        </w:tabs>
        <w:spacing w:before="80" w:after="8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2E21EF" w:rsidRPr="00430AC1" w:rsidTr="005B5A6D">
        <w:tc>
          <w:tcPr>
            <w:tcW w:w="6804" w:type="dxa"/>
            <w:tcBorders>
              <w:bottom w:val="single" w:sz="4" w:space="0" w:color="FF37EF"/>
            </w:tcBorders>
            <w:tcMar>
              <w:left w:w="0" w:type="dxa"/>
              <w:right w:w="0" w:type="dxa"/>
            </w:tcMar>
          </w:tcPr>
          <w:p w:rsidR="002E21EF" w:rsidRPr="002E21EF" w:rsidRDefault="002E21EF" w:rsidP="005B5A6D">
            <w:pPr>
              <w:tabs>
                <w:tab w:val="left" w:pos="284"/>
                <w:tab w:val="right" w:pos="9632"/>
              </w:tabs>
              <w:rPr>
                <w:rFonts w:ascii="Bradley Hand" w:hAnsi="Bradley Hand"/>
                <w:b/>
                <w:bCs/>
                <w:color w:val="FF37EF"/>
                <w:sz w:val="24"/>
                <w:szCs w:val="24"/>
              </w:rPr>
            </w:pPr>
            <w:r w:rsidRPr="002E21EF">
              <w:rPr>
                <w:rFonts w:ascii="Bradley Hand" w:hAnsi="Bradley Hand"/>
                <w:b/>
                <w:bCs/>
                <w:color w:val="FF37EF"/>
                <w:sz w:val="24"/>
                <w:szCs w:val="24"/>
              </w:rPr>
              <w:t>Fall A: Valerie und Roland</w:t>
            </w:r>
          </w:p>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color w:val="000000" w:themeColor="text1"/>
                <w:sz w:val="24"/>
                <w:szCs w:val="24"/>
              </w:rPr>
              <w:t xml:space="preserve">In Valeries Familie trat </w:t>
            </w:r>
            <w:r>
              <w:rPr>
                <w:rFonts w:ascii="Bradley Hand" w:hAnsi="Bradley Hand"/>
                <w:color w:val="000000" w:themeColor="text1"/>
                <w:sz w:val="24"/>
                <w:szCs w:val="24"/>
              </w:rPr>
              <w:t>mehrfach</w:t>
            </w:r>
            <w:r w:rsidRPr="00430AC1">
              <w:rPr>
                <w:rFonts w:ascii="Bradley Hand" w:hAnsi="Bradley Hand"/>
                <w:color w:val="000000" w:themeColor="text1"/>
                <w:sz w:val="24"/>
                <w:szCs w:val="24"/>
              </w:rPr>
              <w:t xml:space="preserve"> die „Bluterkrankheit“ auf. Das Allel dafür wird rezessiv vererbt. Es liegt auf dem X-Chromosom. </w:t>
            </w:r>
          </w:p>
          <w:p w:rsidR="002E21EF"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color w:val="000000" w:themeColor="text1"/>
                <w:sz w:val="24"/>
                <w:szCs w:val="24"/>
              </w:rPr>
              <w:t>Valerie ist gesund, ebenso ihr Partner Roland, in dessen Familie die Krankheit bisher nicht auftrat. Beide wünschen sich Kinder, fragen sich aber, welches Erkrankungsrisiko für diese wohl bestehen würde. Ein Gentest ergab, dass Valerie heterozygot ist. Soll Roland einen Gentest machen lassen?</w:t>
            </w:r>
          </w:p>
          <w:p w:rsidR="002E21EF"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color w:val="000000" w:themeColor="text1"/>
                <w:sz w:val="24"/>
                <w:szCs w:val="24"/>
              </w:rPr>
              <w:t xml:space="preserve">Berate die beiden hinsichtlich eines Gentests und des </w:t>
            </w:r>
            <w:proofErr w:type="spellStart"/>
            <w:r w:rsidRPr="00430AC1">
              <w:rPr>
                <w:rFonts w:ascii="Bradley Hand" w:hAnsi="Bradley Hand"/>
                <w:color w:val="000000" w:themeColor="text1"/>
                <w:sz w:val="24"/>
                <w:szCs w:val="24"/>
              </w:rPr>
              <w:t>Erkran</w:t>
            </w:r>
            <w:r>
              <w:rPr>
                <w:rFonts w:ascii="Bradley Hand" w:hAnsi="Bradley Hand"/>
                <w:color w:val="000000" w:themeColor="text1"/>
                <w:sz w:val="24"/>
                <w:szCs w:val="24"/>
              </w:rPr>
              <w:t>-</w:t>
            </w:r>
            <w:r w:rsidRPr="00430AC1">
              <w:rPr>
                <w:rFonts w:ascii="Bradley Hand" w:hAnsi="Bradley Hand"/>
                <w:color w:val="000000" w:themeColor="text1"/>
                <w:sz w:val="24"/>
                <w:szCs w:val="24"/>
              </w:rPr>
              <w:t>kungsrisikos</w:t>
            </w:r>
            <w:proofErr w:type="spellEnd"/>
            <w:r w:rsidRPr="00430AC1">
              <w:rPr>
                <w:rFonts w:ascii="Bradley Hand" w:hAnsi="Bradley Hand"/>
                <w:color w:val="000000" w:themeColor="text1"/>
                <w:sz w:val="24"/>
                <w:szCs w:val="24"/>
              </w:rPr>
              <w:t xml:space="preserve"> für ihre Kinder.</w:t>
            </w:r>
            <w:r>
              <w:rPr>
                <w:rFonts w:ascii="Bradley Hand" w:hAnsi="Bradley Hand"/>
                <w:color w:val="000000" w:themeColor="text1"/>
                <w:sz w:val="24"/>
                <w:szCs w:val="24"/>
              </w:rPr>
              <w:t xml:space="preserve"> </w:t>
            </w:r>
            <w:r w:rsidRPr="00430AC1">
              <w:rPr>
                <w:rFonts w:ascii="Bradley Hand" w:hAnsi="Bradley Hand"/>
                <w:color w:val="000000" w:themeColor="text1"/>
                <w:sz w:val="24"/>
                <w:szCs w:val="24"/>
              </w:rPr>
              <w:t>Nutze das Kreuzungsquadrat</w:t>
            </w:r>
            <w:r>
              <w:rPr>
                <w:rFonts w:ascii="Bradley Hand" w:hAnsi="Bradley Hand"/>
                <w:color w:val="000000" w:themeColor="text1"/>
                <w:sz w:val="24"/>
                <w:szCs w:val="24"/>
              </w:rPr>
              <w:t>.</w:t>
            </w:r>
          </w:p>
          <w:p w:rsidR="002E21EF" w:rsidRPr="00227205" w:rsidRDefault="002E21EF" w:rsidP="005B5A6D">
            <w:pPr>
              <w:tabs>
                <w:tab w:val="left" w:pos="284"/>
                <w:tab w:val="right" w:pos="9632"/>
              </w:tabs>
              <w:rPr>
                <w:rFonts w:ascii="Chalkduster" w:hAnsi="Chalkduster"/>
                <w:color w:val="000000" w:themeColor="text1"/>
                <w:sz w:val="10"/>
                <w:szCs w:val="10"/>
              </w:rPr>
            </w:pPr>
            <w:r w:rsidRPr="00227205">
              <w:rPr>
                <w:rFonts w:ascii="Bradley Hand" w:hAnsi="Bradley Hand"/>
                <w:color w:val="000000" w:themeColor="text1"/>
                <w:sz w:val="10"/>
                <w:szCs w:val="10"/>
              </w:rPr>
              <w:t xml:space="preserve">   </w:t>
            </w:r>
          </w:p>
        </w:tc>
        <w:tc>
          <w:tcPr>
            <w:tcW w:w="2835" w:type="dxa"/>
            <w:tcBorders>
              <w:bottom w:val="single" w:sz="4" w:space="0" w:color="FF37EF"/>
            </w:tcBorders>
            <w:tcMar>
              <w:left w:w="0" w:type="dxa"/>
              <w:right w:w="0" w:type="dxa"/>
            </w:tcMar>
          </w:tcPr>
          <w:p w:rsidR="002E21EF" w:rsidRPr="00430AC1" w:rsidRDefault="002E21EF" w:rsidP="005B5A6D">
            <w:pPr>
              <w:tabs>
                <w:tab w:val="left" w:pos="284"/>
                <w:tab w:val="right" w:pos="9632"/>
              </w:tabs>
              <w:rPr>
                <w:rFonts w:ascii="Times" w:hAnsi="Times"/>
                <w:color w:val="000000" w:themeColor="text1"/>
                <w:sz w:val="22"/>
                <w:szCs w:val="22"/>
              </w:rPr>
            </w:pPr>
            <w:r>
              <w:rPr>
                <w:rFonts w:ascii="Times" w:hAnsi="Times"/>
                <w:noProof/>
                <w:color w:val="000000" w:themeColor="text1"/>
                <w:sz w:val="22"/>
                <w:szCs w:val="22"/>
              </w:rPr>
              <w:drawing>
                <wp:inline distT="0" distB="0" distL="0" distR="0" wp14:anchorId="462BB923" wp14:editId="166A5905">
                  <wp:extent cx="1800000" cy="1814173"/>
                  <wp:effectExtent l="0" t="0" r="3810" b="254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reuzungsquadrat_mono_Fall_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1814173"/>
                          </a:xfrm>
                          <a:prstGeom prst="rect">
                            <a:avLst/>
                          </a:prstGeom>
                        </pic:spPr>
                      </pic:pic>
                    </a:graphicData>
                  </a:graphic>
                </wp:inline>
              </w:drawing>
            </w:r>
          </w:p>
        </w:tc>
      </w:tr>
      <w:tr w:rsidR="002E21EF" w:rsidRPr="00227205" w:rsidTr="005B5A6D">
        <w:tc>
          <w:tcPr>
            <w:tcW w:w="9639" w:type="dxa"/>
            <w:gridSpan w:val="2"/>
            <w:tcBorders>
              <w:top w:val="single" w:sz="4" w:space="0" w:color="FF37EF"/>
              <w:left w:val="single" w:sz="4" w:space="0" w:color="FF37EF"/>
              <w:bottom w:val="single" w:sz="4" w:space="0" w:color="FF37EF"/>
              <w:right w:val="single" w:sz="4" w:space="0" w:color="FF37EF"/>
            </w:tcBorders>
            <w:tcMar>
              <w:left w:w="0" w:type="dxa"/>
              <w:right w:w="0" w:type="dxa"/>
            </w:tcMar>
          </w:tcPr>
          <w:p w:rsidR="002E21EF" w:rsidRPr="00227205" w:rsidRDefault="002E21EF" w:rsidP="005B5A6D">
            <w:pPr>
              <w:tabs>
                <w:tab w:val="left" w:pos="284"/>
                <w:tab w:val="right" w:pos="9632"/>
              </w:tabs>
              <w:rPr>
                <w:rFonts w:ascii="Bradley Hand" w:hAnsi="Bradley Hand"/>
                <w:color w:val="FF37EF"/>
                <w:sz w:val="24"/>
                <w:szCs w:val="24"/>
              </w:rPr>
            </w:pPr>
            <w:r w:rsidRPr="00227205">
              <w:rPr>
                <w:rFonts w:ascii="Bradley Hand" w:hAnsi="Bradley Hand"/>
                <w:color w:val="FF37EF"/>
                <w:sz w:val="24"/>
                <w:szCs w:val="24"/>
              </w:rPr>
              <w:t>Ergebnis: Roland muss XY sein, da gesund (kein Gentest nötig); Valerie laut Gentest XX*</w:t>
            </w:r>
            <w:r>
              <w:rPr>
                <w:rFonts w:ascii="Bradley Hand" w:hAnsi="Bradley Hand"/>
                <w:color w:val="FF37EF"/>
                <w:sz w:val="24"/>
                <w:szCs w:val="24"/>
              </w:rPr>
              <w:t xml:space="preserve">; </w:t>
            </w:r>
            <w:r w:rsidRPr="00227205">
              <w:rPr>
                <w:rFonts w:ascii="Bradley Hand" w:hAnsi="Bradley Hand"/>
                <w:color w:val="FF37EF"/>
                <w:sz w:val="24"/>
                <w:szCs w:val="24"/>
              </w:rPr>
              <w:t xml:space="preserve">Kreuzungsquadrat: </w:t>
            </w:r>
            <w:r>
              <w:rPr>
                <w:rFonts w:ascii="Bradley Hand" w:hAnsi="Bradley Hand"/>
                <w:color w:val="FF37EF"/>
                <w:sz w:val="24"/>
                <w:szCs w:val="24"/>
              </w:rPr>
              <w:t xml:space="preserve">Söhne: </w:t>
            </w:r>
            <w:r w:rsidRPr="00227205">
              <w:rPr>
                <w:rFonts w:ascii="Bradley Hand" w:hAnsi="Bradley Hand"/>
                <w:color w:val="FF37EF"/>
                <w:sz w:val="24"/>
                <w:szCs w:val="24"/>
              </w:rPr>
              <w:t xml:space="preserve">50% </w:t>
            </w:r>
            <w:r w:rsidRPr="003C29C4">
              <w:rPr>
                <w:rFonts w:ascii="Bradley Hand" w:hAnsi="Bradley Hand"/>
                <w:color w:val="FF37EF"/>
                <w:sz w:val="24"/>
                <w:szCs w:val="24"/>
                <w:highlight w:val="green"/>
              </w:rPr>
              <w:t>gesund</w:t>
            </w:r>
            <w:r>
              <w:rPr>
                <w:rFonts w:ascii="Bradley Hand" w:hAnsi="Bradley Hand"/>
                <w:color w:val="FF37EF"/>
                <w:sz w:val="24"/>
                <w:szCs w:val="24"/>
              </w:rPr>
              <w:t>; Töchter:</w:t>
            </w:r>
            <w:r w:rsidRPr="00227205">
              <w:rPr>
                <w:rFonts w:ascii="Bradley Hand" w:hAnsi="Bradley Hand"/>
                <w:color w:val="FF37EF"/>
                <w:sz w:val="24"/>
                <w:szCs w:val="24"/>
              </w:rPr>
              <w:t xml:space="preserve"> 100% </w:t>
            </w:r>
            <w:r w:rsidRPr="003C29C4">
              <w:rPr>
                <w:rFonts w:ascii="Bradley Hand" w:hAnsi="Bradley Hand"/>
                <w:color w:val="FF37EF"/>
                <w:sz w:val="24"/>
                <w:szCs w:val="24"/>
                <w:highlight w:val="green"/>
              </w:rPr>
              <w:t>gesund</w:t>
            </w:r>
            <w:r>
              <w:rPr>
                <w:rFonts w:ascii="Bradley Hand" w:hAnsi="Bradley Hand"/>
                <w:color w:val="FF37EF"/>
                <w:sz w:val="24"/>
                <w:szCs w:val="24"/>
              </w:rPr>
              <w:t xml:space="preserve"> (</w:t>
            </w:r>
            <w:r w:rsidRPr="003C29C4">
              <w:rPr>
                <w:rFonts w:ascii="Bradley Hand" w:hAnsi="Bradley Hand"/>
                <w:color w:val="FF37EF"/>
                <w:sz w:val="24"/>
                <w:szCs w:val="24"/>
                <w:highlight w:val="yellow"/>
              </w:rPr>
              <w:t xml:space="preserve">50% </w:t>
            </w:r>
            <w:proofErr w:type="spellStart"/>
            <w:r w:rsidRPr="003C29C4">
              <w:rPr>
                <w:rFonts w:ascii="Bradley Hand" w:hAnsi="Bradley Hand"/>
                <w:color w:val="FF37EF"/>
                <w:sz w:val="24"/>
                <w:szCs w:val="24"/>
                <w:highlight w:val="yellow"/>
              </w:rPr>
              <w:t>Konduktorin</w:t>
            </w:r>
            <w:proofErr w:type="spellEnd"/>
            <w:r>
              <w:rPr>
                <w:rFonts w:ascii="Bradley Hand" w:hAnsi="Bradley Hand"/>
                <w:color w:val="FF37EF"/>
                <w:sz w:val="24"/>
                <w:szCs w:val="24"/>
              </w:rPr>
              <w:t>)</w:t>
            </w:r>
          </w:p>
        </w:tc>
      </w:tr>
    </w:tbl>
    <w:p w:rsidR="002E21EF" w:rsidRPr="00227205" w:rsidRDefault="002E21EF" w:rsidP="002E21EF">
      <w:pPr>
        <w:tabs>
          <w:tab w:val="left" w:pos="284"/>
          <w:tab w:val="right" w:pos="9632"/>
        </w:tabs>
        <w:rPr>
          <w:rFonts w:ascii="Times" w:hAnsi="Times"/>
          <w:color w:val="000000" w:themeColor="text1"/>
          <w:sz w:val="8"/>
          <w:szCs w:val="8"/>
        </w:rPr>
      </w:pPr>
    </w:p>
    <w:p w:rsidR="002E21EF" w:rsidRPr="002728B7" w:rsidRDefault="002E21EF" w:rsidP="002E21EF">
      <w:pPr>
        <w:tabs>
          <w:tab w:val="left" w:pos="198"/>
          <w:tab w:val="right" w:pos="9632"/>
        </w:tabs>
        <w:spacing w:before="80" w:after="8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2E21EF" w:rsidRPr="00430AC1" w:rsidTr="005B5A6D">
        <w:tc>
          <w:tcPr>
            <w:tcW w:w="6804" w:type="dxa"/>
            <w:tcBorders>
              <w:bottom w:val="single" w:sz="4" w:space="0" w:color="0070C0"/>
            </w:tcBorders>
            <w:tcMar>
              <w:left w:w="0" w:type="dxa"/>
              <w:right w:w="0" w:type="dxa"/>
            </w:tcMar>
          </w:tcPr>
          <w:p w:rsidR="002E21EF" w:rsidRPr="00C80195" w:rsidRDefault="002E21EF" w:rsidP="005B5A6D">
            <w:pPr>
              <w:tabs>
                <w:tab w:val="left" w:pos="284"/>
                <w:tab w:val="right" w:pos="9632"/>
              </w:tabs>
              <w:rPr>
                <w:rFonts w:ascii="Bradley Hand" w:hAnsi="Bradley Hand"/>
                <w:b/>
                <w:bCs/>
                <w:color w:val="000000" w:themeColor="text1"/>
                <w:sz w:val="24"/>
                <w:szCs w:val="24"/>
              </w:rPr>
            </w:pPr>
            <w:r w:rsidRPr="00C3704D">
              <w:rPr>
                <w:rFonts w:ascii="Bradley Hand" w:hAnsi="Bradley Hand"/>
                <w:b/>
                <w:bCs/>
                <w:color w:val="0070C0"/>
                <w:sz w:val="24"/>
                <w:szCs w:val="24"/>
              </w:rPr>
              <w:t>Fall B: Lars und Petra</w:t>
            </w:r>
          </w:p>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color w:val="000000" w:themeColor="text1"/>
                <w:sz w:val="24"/>
                <w:szCs w:val="24"/>
              </w:rPr>
              <w:t xml:space="preserve">In Lars Verwandtschaft trat immer mal wieder die genetisch bedingte Krankheit Mukoviszidose auf. Das Allel dafür wird rezessiv vererbt. Es liegt auf Chromosom Nr. 7. </w:t>
            </w:r>
          </w:p>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color w:val="000000" w:themeColor="text1"/>
                <w:sz w:val="24"/>
                <w:szCs w:val="24"/>
              </w:rPr>
              <w:t>Lars ist gesund, ebenso seine Partnerin Petra, in deren Familie die Krankheit bisher nicht auftrat. Beide wünschen sich Kinder, fragen sich aber, welches Erkrankung</w:t>
            </w:r>
            <w:r>
              <w:rPr>
                <w:rFonts w:ascii="Bradley Hand" w:hAnsi="Bradley Hand"/>
                <w:color w:val="000000" w:themeColor="text1"/>
                <w:sz w:val="24"/>
                <w:szCs w:val="24"/>
              </w:rPr>
              <w:t>sr</w:t>
            </w:r>
            <w:r w:rsidRPr="00430AC1">
              <w:rPr>
                <w:rFonts w:ascii="Bradley Hand" w:hAnsi="Bradley Hand"/>
                <w:color w:val="000000" w:themeColor="text1"/>
                <w:sz w:val="24"/>
                <w:szCs w:val="24"/>
              </w:rPr>
              <w:t xml:space="preserve">isiko für </w:t>
            </w:r>
            <w:r>
              <w:rPr>
                <w:rFonts w:ascii="Bradley Hand" w:hAnsi="Bradley Hand"/>
                <w:color w:val="000000" w:themeColor="text1"/>
                <w:sz w:val="24"/>
                <w:szCs w:val="24"/>
              </w:rPr>
              <w:t xml:space="preserve">diese </w:t>
            </w:r>
            <w:r w:rsidRPr="00430AC1">
              <w:rPr>
                <w:rFonts w:ascii="Bradley Hand" w:hAnsi="Bradley Hand"/>
                <w:color w:val="000000" w:themeColor="text1"/>
                <w:sz w:val="24"/>
                <w:szCs w:val="24"/>
              </w:rPr>
              <w:t xml:space="preserve">wohl bestehen würde. Ein Gentest ergab, dass Lars und Petra beide heterozygot sind. Berate </w:t>
            </w:r>
            <w:r>
              <w:rPr>
                <w:rFonts w:ascii="Bradley Hand" w:hAnsi="Bradley Hand"/>
                <w:color w:val="000000" w:themeColor="text1"/>
                <w:sz w:val="24"/>
                <w:szCs w:val="24"/>
              </w:rPr>
              <w:t>sie</w:t>
            </w:r>
            <w:r w:rsidRPr="00430AC1">
              <w:rPr>
                <w:rFonts w:ascii="Bradley Hand" w:hAnsi="Bradley Hand"/>
                <w:color w:val="000000" w:themeColor="text1"/>
                <w:sz w:val="24"/>
                <w:szCs w:val="24"/>
              </w:rPr>
              <w:t>. Nutze das Kreuzungsquadrat</w:t>
            </w:r>
            <w:r>
              <w:rPr>
                <w:rFonts w:ascii="Bradley Hand" w:hAnsi="Bradley Hand"/>
                <w:color w:val="000000" w:themeColor="text1"/>
                <w:sz w:val="24"/>
                <w:szCs w:val="24"/>
              </w:rPr>
              <w:t>.</w:t>
            </w:r>
          </w:p>
        </w:tc>
        <w:tc>
          <w:tcPr>
            <w:tcW w:w="2835" w:type="dxa"/>
            <w:tcBorders>
              <w:bottom w:val="single" w:sz="4" w:space="0" w:color="0070C0"/>
            </w:tcBorders>
            <w:tcMar>
              <w:left w:w="0" w:type="dxa"/>
              <w:right w:w="0" w:type="dxa"/>
            </w:tcMar>
          </w:tcPr>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noProof/>
                <w:color w:val="000000" w:themeColor="text1"/>
              </w:rPr>
              <w:drawing>
                <wp:inline distT="0" distB="0" distL="0" distR="0" wp14:anchorId="08E5DE79" wp14:editId="759490A2">
                  <wp:extent cx="1800000" cy="1814173"/>
                  <wp:effectExtent l="0" t="0" r="3810" b="2540"/>
                  <wp:docPr id="10" name="Grafik 10" descr="Ein Bild, das Bildschirm, Gebäude, sitzen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uzungsquadrat_mo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14173"/>
                          </a:xfrm>
                          <a:prstGeom prst="rect">
                            <a:avLst/>
                          </a:prstGeom>
                        </pic:spPr>
                      </pic:pic>
                    </a:graphicData>
                  </a:graphic>
                </wp:inline>
              </w:drawing>
            </w:r>
          </w:p>
        </w:tc>
      </w:tr>
      <w:tr w:rsidR="002E21EF" w:rsidRPr="00C3704D" w:rsidTr="005B5A6D">
        <w:tc>
          <w:tcPr>
            <w:tcW w:w="9639" w:type="dxa"/>
            <w:gridSpan w:val="2"/>
            <w:tcBorders>
              <w:top w:val="single" w:sz="4" w:space="0" w:color="0070C0"/>
              <w:left w:val="single" w:sz="4" w:space="0" w:color="0070C0"/>
              <w:bottom w:val="single" w:sz="4" w:space="0" w:color="0070C0"/>
              <w:right w:val="single" w:sz="4" w:space="0" w:color="0070C0"/>
            </w:tcBorders>
            <w:tcMar>
              <w:left w:w="0" w:type="dxa"/>
              <w:right w:w="0" w:type="dxa"/>
            </w:tcMar>
          </w:tcPr>
          <w:p w:rsidR="002E21EF" w:rsidRPr="00C3704D" w:rsidRDefault="002E21EF" w:rsidP="005B5A6D">
            <w:pPr>
              <w:tabs>
                <w:tab w:val="left" w:pos="284"/>
                <w:tab w:val="right" w:pos="9632"/>
              </w:tabs>
              <w:rPr>
                <w:rFonts w:ascii="Bradley Hand" w:hAnsi="Bradley Hand"/>
                <w:color w:val="0070C0"/>
                <w:sz w:val="24"/>
                <w:szCs w:val="24"/>
              </w:rPr>
            </w:pPr>
            <w:r w:rsidRPr="00C3704D">
              <w:rPr>
                <w:rFonts w:ascii="Bradley Hand" w:hAnsi="Bradley Hand"/>
                <w:color w:val="0070C0"/>
                <w:sz w:val="24"/>
                <w:szCs w:val="24"/>
              </w:rPr>
              <w:t xml:space="preserve">Ergebnis: </w:t>
            </w:r>
          </w:p>
          <w:p w:rsidR="002E21EF" w:rsidRPr="00C3704D" w:rsidRDefault="002E21EF" w:rsidP="005B5A6D">
            <w:pPr>
              <w:tabs>
                <w:tab w:val="left" w:pos="284"/>
                <w:tab w:val="right" w:pos="9632"/>
              </w:tabs>
              <w:spacing w:before="80" w:after="80"/>
              <w:rPr>
                <w:rFonts w:ascii="Bradley Hand" w:hAnsi="Bradley Hand"/>
                <w:color w:val="0070C0"/>
                <w:sz w:val="24"/>
                <w:szCs w:val="24"/>
              </w:rPr>
            </w:pPr>
          </w:p>
          <w:p w:rsidR="002E21EF" w:rsidRPr="00C3704D" w:rsidRDefault="002E21EF" w:rsidP="005B5A6D">
            <w:pPr>
              <w:tabs>
                <w:tab w:val="left" w:pos="284"/>
                <w:tab w:val="right" w:pos="9632"/>
              </w:tabs>
              <w:rPr>
                <w:rFonts w:ascii="Bradley Hand" w:hAnsi="Bradley Hand"/>
                <w:color w:val="0070C0"/>
                <w:sz w:val="24"/>
                <w:szCs w:val="24"/>
              </w:rPr>
            </w:pPr>
          </w:p>
        </w:tc>
      </w:tr>
    </w:tbl>
    <w:p w:rsidR="002E21EF" w:rsidRPr="00C3704D" w:rsidRDefault="002E21EF" w:rsidP="002E21EF">
      <w:pPr>
        <w:tabs>
          <w:tab w:val="left" w:pos="284"/>
          <w:tab w:val="right" w:pos="9632"/>
        </w:tabs>
        <w:rPr>
          <w:rFonts w:ascii="Bradley Hand" w:hAnsi="Bradley Hand"/>
          <w:color w:val="000000" w:themeColor="text1"/>
          <w:sz w:val="6"/>
          <w:szCs w:val="6"/>
        </w:rPr>
      </w:pPr>
    </w:p>
    <w:p w:rsidR="002E21EF" w:rsidRPr="002728B7" w:rsidRDefault="002E21EF" w:rsidP="002E21EF">
      <w:pPr>
        <w:tabs>
          <w:tab w:val="left" w:pos="198"/>
          <w:tab w:val="right" w:pos="9632"/>
        </w:tabs>
        <w:spacing w:before="80" w:after="8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2E21EF" w:rsidRPr="00430AC1" w:rsidTr="005B5A6D">
        <w:tc>
          <w:tcPr>
            <w:tcW w:w="6804" w:type="dxa"/>
            <w:tcBorders>
              <w:bottom w:val="single" w:sz="4" w:space="0" w:color="C00000"/>
            </w:tcBorders>
            <w:tcMar>
              <w:left w:w="0" w:type="dxa"/>
              <w:right w:w="0" w:type="dxa"/>
            </w:tcMar>
          </w:tcPr>
          <w:p w:rsidR="002E21EF" w:rsidRPr="00C3704D" w:rsidRDefault="002E21EF" w:rsidP="005B5A6D">
            <w:pPr>
              <w:tabs>
                <w:tab w:val="left" w:pos="284"/>
                <w:tab w:val="right" w:pos="9632"/>
              </w:tabs>
              <w:rPr>
                <w:rFonts w:ascii="Bradley Hand" w:hAnsi="Bradley Hand"/>
                <w:b/>
                <w:bCs/>
                <w:color w:val="C00000"/>
                <w:sz w:val="24"/>
                <w:szCs w:val="24"/>
              </w:rPr>
            </w:pPr>
            <w:r w:rsidRPr="00C3704D">
              <w:rPr>
                <w:rFonts w:ascii="Bradley Hand" w:hAnsi="Bradley Hand"/>
                <w:b/>
                <w:bCs/>
                <w:color w:val="C00000"/>
                <w:sz w:val="24"/>
                <w:szCs w:val="24"/>
              </w:rPr>
              <w:t xml:space="preserve">Fall C: Nicole und </w:t>
            </w:r>
            <w:proofErr w:type="spellStart"/>
            <w:r w:rsidRPr="00C3704D">
              <w:rPr>
                <w:rFonts w:ascii="Bradley Hand" w:hAnsi="Bradley Hand"/>
                <w:b/>
                <w:bCs/>
                <w:color w:val="C00000"/>
                <w:sz w:val="24"/>
                <w:szCs w:val="24"/>
              </w:rPr>
              <w:t>Manni</w:t>
            </w:r>
            <w:proofErr w:type="spellEnd"/>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In Nicoles Verwandtschaft trat immer mal wieder eine genetisch bedingte Nierenentzündung</w:t>
            </w:r>
            <w:r>
              <w:rPr>
                <w:rFonts w:ascii="Bradley Hand" w:hAnsi="Bradley Hand"/>
                <w:color w:val="000000" w:themeColor="text1"/>
                <w:sz w:val="24"/>
                <w:szCs w:val="24"/>
              </w:rPr>
              <w:t xml:space="preserve"> (Alport-Syndrom)</w:t>
            </w:r>
            <w:r w:rsidRPr="00C80195">
              <w:rPr>
                <w:rFonts w:ascii="Bradley Hand" w:hAnsi="Bradley Hand"/>
                <w:color w:val="000000" w:themeColor="text1"/>
                <w:sz w:val="24"/>
                <w:szCs w:val="24"/>
              </w:rPr>
              <w:t xml:space="preserve"> auf. Das Allel dafür wird dominant vererbt. Es liegt auf dem X-Chromosom. </w:t>
            </w:r>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 xml:space="preserve">Nicole ist gesund, ebenso ihr Partner </w:t>
            </w:r>
            <w:proofErr w:type="spellStart"/>
            <w:r w:rsidRPr="00C80195">
              <w:rPr>
                <w:rFonts w:ascii="Bradley Hand" w:hAnsi="Bradley Hand"/>
                <w:color w:val="000000" w:themeColor="text1"/>
                <w:sz w:val="24"/>
                <w:szCs w:val="24"/>
              </w:rPr>
              <w:t>Manni</w:t>
            </w:r>
            <w:proofErr w:type="spellEnd"/>
            <w:r w:rsidRPr="00C80195">
              <w:rPr>
                <w:rFonts w:ascii="Bradley Hand" w:hAnsi="Bradley Hand"/>
                <w:color w:val="000000" w:themeColor="text1"/>
                <w:sz w:val="24"/>
                <w:szCs w:val="24"/>
              </w:rPr>
              <w:t xml:space="preserve">, in dessen Familie die Krankheit bisher nicht auftrat. Beide wünschen sich Kinder, fragen sich aber, welches Erkrankungsrisiko für ihre Kinder wohl bestehen würde. Sollen sie einen Gentest machen? </w:t>
            </w:r>
          </w:p>
          <w:p w:rsidR="002E21EF" w:rsidRPr="00430AC1"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 xml:space="preserve">Berate Nicole und </w:t>
            </w:r>
            <w:proofErr w:type="spellStart"/>
            <w:r w:rsidRPr="00C80195">
              <w:rPr>
                <w:rFonts w:ascii="Bradley Hand" w:hAnsi="Bradley Hand"/>
                <w:color w:val="000000" w:themeColor="text1"/>
                <w:sz w:val="24"/>
                <w:szCs w:val="24"/>
              </w:rPr>
              <w:t>Manni</w:t>
            </w:r>
            <w:proofErr w:type="spellEnd"/>
            <w:r w:rsidRPr="00C80195">
              <w:rPr>
                <w:rFonts w:ascii="Bradley Hand" w:hAnsi="Bradley Hand"/>
                <w:color w:val="000000" w:themeColor="text1"/>
                <w:sz w:val="24"/>
                <w:szCs w:val="24"/>
              </w:rPr>
              <w:t>. Nutze das Kreuzungsquadrat</w:t>
            </w:r>
            <w:r>
              <w:rPr>
                <w:rFonts w:ascii="Bradley Hand" w:hAnsi="Bradley Hand"/>
                <w:color w:val="000000" w:themeColor="text1"/>
                <w:sz w:val="24"/>
                <w:szCs w:val="24"/>
              </w:rPr>
              <w:t>.</w:t>
            </w:r>
          </w:p>
        </w:tc>
        <w:tc>
          <w:tcPr>
            <w:tcW w:w="2835" w:type="dxa"/>
            <w:tcBorders>
              <w:bottom w:val="single" w:sz="4" w:space="0" w:color="C00000"/>
            </w:tcBorders>
            <w:tcMar>
              <w:left w:w="0" w:type="dxa"/>
              <w:right w:w="0" w:type="dxa"/>
            </w:tcMar>
          </w:tcPr>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noProof/>
                <w:color w:val="000000" w:themeColor="text1"/>
              </w:rPr>
              <w:drawing>
                <wp:inline distT="0" distB="0" distL="0" distR="0" wp14:anchorId="5F7D9E65" wp14:editId="71327928">
                  <wp:extent cx="1800000" cy="1814173"/>
                  <wp:effectExtent l="0" t="0" r="3810" b="2540"/>
                  <wp:docPr id="11" name="Grafik 11" descr="Ein Bild, das Bildschirm, Gebäude, sitzen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uzungsquadrat_mo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14173"/>
                          </a:xfrm>
                          <a:prstGeom prst="rect">
                            <a:avLst/>
                          </a:prstGeom>
                        </pic:spPr>
                      </pic:pic>
                    </a:graphicData>
                  </a:graphic>
                </wp:inline>
              </w:drawing>
            </w:r>
          </w:p>
        </w:tc>
      </w:tr>
      <w:tr w:rsidR="002E21EF" w:rsidRPr="00C3704D" w:rsidTr="005B5A6D">
        <w:tc>
          <w:tcPr>
            <w:tcW w:w="9639" w:type="dxa"/>
            <w:gridSpan w:val="2"/>
            <w:tcBorders>
              <w:top w:val="single" w:sz="4" w:space="0" w:color="C00000"/>
              <w:left w:val="single" w:sz="4" w:space="0" w:color="C00000"/>
              <w:bottom w:val="single" w:sz="4" w:space="0" w:color="C00000"/>
              <w:right w:val="single" w:sz="4" w:space="0" w:color="C00000"/>
            </w:tcBorders>
            <w:tcMar>
              <w:left w:w="0" w:type="dxa"/>
              <w:right w:w="0" w:type="dxa"/>
            </w:tcMar>
          </w:tcPr>
          <w:p w:rsidR="002E21EF" w:rsidRPr="00C3704D" w:rsidRDefault="002E21EF" w:rsidP="005B5A6D">
            <w:pPr>
              <w:tabs>
                <w:tab w:val="left" w:pos="284"/>
                <w:tab w:val="right" w:pos="9632"/>
              </w:tabs>
              <w:rPr>
                <w:rFonts w:ascii="Bradley Hand" w:hAnsi="Bradley Hand"/>
                <w:color w:val="C00000"/>
                <w:sz w:val="24"/>
                <w:szCs w:val="24"/>
              </w:rPr>
            </w:pPr>
            <w:r w:rsidRPr="00C3704D">
              <w:rPr>
                <w:rFonts w:ascii="Bradley Hand" w:hAnsi="Bradley Hand"/>
                <w:color w:val="C00000"/>
                <w:sz w:val="24"/>
                <w:szCs w:val="24"/>
              </w:rPr>
              <w:t xml:space="preserve">Ergebnis: </w:t>
            </w:r>
          </w:p>
          <w:p w:rsidR="002E21EF" w:rsidRPr="00C3704D" w:rsidRDefault="002E21EF" w:rsidP="005B5A6D">
            <w:pPr>
              <w:tabs>
                <w:tab w:val="left" w:pos="284"/>
                <w:tab w:val="right" w:pos="9632"/>
              </w:tabs>
              <w:spacing w:before="80" w:after="80"/>
              <w:rPr>
                <w:rFonts w:ascii="Bradley Hand" w:hAnsi="Bradley Hand"/>
                <w:color w:val="C00000"/>
                <w:sz w:val="24"/>
                <w:szCs w:val="24"/>
              </w:rPr>
            </w:pPr>
          </w:p>
          <w:p w:rsidR="002E21EF" w:rsidRPr="00C3704D" w:rsidRDefault="002E21EF" w:rsidP="005B5A6D">
            <w:pPr>
              <w:tabs>
                <w:tab w:val="left" w:pos="284"/>
                <w:tab w:val="right" w:pos="9632"/>
              </w:tabs>
              <w:rPr>
                <w:rFonts w:ascii="Bradley Hand" w:hAnsi="Bradley Hand"/>
                <w:color w:val="C00000"/>
                <w:sz w:val="24"/>
                <w:szCs w:val="24"/>
              </w:rPr>
            </w:pPr>
          </w:p>
        </w:tc>
      </w:tr>
    </w:tbl>
    <w:p w:rsidR="002E21EF" w:rsidRPr="00C3704D" w:rsidRDefault="002E21EF" w:rsidP="002E21EF">
      <w:pPr>
        <w:pageBreakBefore/>
        <w:tabs>
          <w:tab w:val="left" w:pos="284"/>
          <w:tab w:val="right" w:pos="9632"/>
        </w:tabs>
        <w:rPr>
          <w:rFonts w:ascii="Bradley Hand" w:hAnsi="Bradley Hand"/>
          <w:color w:val="000000" w:themeColor="text1"/>
          <w:sz w:val="6"/>
          <w:szCs w:val="6"/>
        </w:rPr>
      </w:pPr>
    </w:p>
    <w:p w:rsidR="002E21EF" w:rsidRPr="002728B7" w:rsidRDefault="002E21EF" w:rsidP="002E21EF">
      <w:pPr>
        <w:tabs>
          <w:tab w:val="left" w:pos="198"/>
          <w:tab w:val="right" w:pos="9632"/>
        </w:tabs>
        <w:spacing w:after="12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2E21EF" w:rsidRPr="00430AC1" w:rsidTr="005B5A6D">
        <w:tc>
          <w:tcPr>
            <w:tcW w:w="6804" w:type="dxa"/>
            <w:tcBorders>
              <w:bottom w:val="single" w:sz="4" w:space="0" w:color="70AD47" w:themeColor="accent6"/>
            </w:tcBorders>
            <w:tcMar>
              <w:left w:w="0" w:type="dxa"/>
              <w:right w:w="0" w:type="dxa"/>
            </w:tcMar>
          </w:tcPr>
          <w:p w:rsidR="002E21EF" w:rsidRPr="00EC5646" w:rsidRDefault="002E21EF" w:rsidP="005B5A6D">
            <w:pPr>
              <w:tabs>
                <w:tab w:val="left" w:pos="284"/>
                <w:tab w:val="right" w:pos="9632"/>
              </w:tabs>
              <w:rPr>
                <w:rFonts w:ascii="Bradley Hand" w:hAnsi="Bradley Hand"/>
                <w:b/>
                <w:bCs/>
                <w:color w:val="70AD47" w:themeColor="accent6"/>
                <w:sz w:val="24"/>
                <w:szCs w:val="24"/>
              </w:rPr>
            </w:pPr>
            <w:r w:rsidRPr="00EC5646">
              <w:rPr>
                <w:rFonts w:ascii="Bradley Hand" w:hAnsi="Bradley Hand"/>
                <w:b/>
                <w:bCs/>
                <w:color w:val="70AD47" w:themeColor="accent6"/>
                <w:sz w:val="24"/>
                <w:szCs w:val="24"/>
              </w:rPr>
              <w:t>Fall D: Manu und Ralf</w:t>
            </w:r>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 xml:space="preserve">In Manus Familie trat immer mal wieder die genetisch bedingte Krankheit „Familiäre Hypercholesterinämie“ auf. Das Allel dafür wird dominant vererbt. Es liegt auf Chromosom Nr. 19. </w:t>
            </w:r>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Manu ist gesund, ebenso ihr Partner Ralf, in dessen Familie die Krankheit bisher nicht auftrat. Beide wünschen sich Kinder, fragen sich aber, welches Erkrankungsrisiko für diese wohl bestehen würde. Sollen sie einen Gentest machen lassen?</w:t>
            </w:r>
          </w:p>
          <w:p w:rsidR="002E21EF" w:rsidRPr="00430AC1"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Berate Manu und Ralf hinsichtlich eines Gentests und des Risikos für ihre Kinder. Nutze das Kreuzungsquadrat</w:t>
            </w:r>
            <w:r>
              <w:rPr>
                <w:rFonts w:ascii="Bradley Hand" w:hAnsi="Bradley Hand"/>
                <w:color w:val="000000" w:themeColor="text1"/>
                <w:sz w:val="24"/>
                <w:szCs w:val="24"/>
              </w:rPr>
              <w:t xml:space="preserve">. </w:t>
            </w:r>
          </w:p>
        </w:tc>
        <w:tc>
          <w:tcPr>
            <w:tcW w:w="2835" w:type="dxa"/>
            <w:tcBorders>
              <w:bottom w:val="single" w:sz="4" w:space="0" w:color="70AD47" w:themeColor="accent6"/>
            </w:tcBorders>
            <w:tcMar>
              <w:left w:w="0" w:type="dxa"/>
              <w:right w:w="0" w:type="dxa"/>
            </w:tcMar>
          </w:tcPr>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noProof/>
                <w:color w:val="000000" w:themeColor="text1"/>
              </w:rPr>
              <w:drawing>
                <wp:inline distT="0" distB="0" distL="0" distR="0" wp14:anchorId="385EE606" wp14:editId="2BAB3CA3">
                  <wp:extent cx="1800000" cy="1814173"/>
                  <wp:effectExtent l="0" t="0" r="3810" b="2540"/>
                  <wp:docPr id="12" name="Grafik 12" descr="Ein Bild, das Bildschirm, Gebäude, sitzen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uzungsquadrat_mo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14173"/>
                          </a:xfrm>
                          <a:prstGeom prst="rect">
                            <a:avLst/>
                          </a:prstGeom>
                        </pic:spPr>
                      </pic:pic>
                    </a:graphicData>
                  </a:graphic>
                </wp:inline>
              </w:drawing>
            </w:r>
          </w:p>
        </w:tc>
      </w:tr>
      <w:tr w:rsidR="002E21EF" w:rsidRPr="00EC5646" w:rsidTr="005B5A6D">
        <w:tc>
          <w:tcPr>
            <w:tcW w:w="9639" w:type="dxa"/>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tcMar>
              <w:left w:w="0" w:type="dxa"/>
              <w:right w:w="0" w:type="dxa"/>
            </w:tcMar>
          </w:tcPr>
          <w:p w:rsidR="002E21EF" w:rsidRPr="00EC5646" w:rsidRDefault="002E21EF" w:rsidP="005B5A6D">
            <w:pPr>
              <w:tabs>
                <w:tab w:val="left" w:pos="284"/>
                <w:tab w:val="right" w:pos="9632"/>
              </w:tabs>
              <w:spacing w:before="80" w:after="60"/>
              <w:rPr>
                <w:rFonts w:ascii="Bradley Hand" w:hAnsi="Bradley Hand"/>
                <w:color w:val="70AD47" w:themeColor="accent6"/>
                <w:sz w:val="24"/>
                <w:szCs w:val="24"/>
              </w:rPr>
            </w:pPr>
            <w:r w:rsidRPr="00EC5646">
              <w:rPr>
                <w:rFonts w:ascii="Bradley Hand" w:hAnsi="Bradley Hand"/>
                <w:color w:val="70AD47" w:themeColor="accent6"/>
                <w:sz w:val="24"/>
                <w:szCs w:val="24"/>
              </w:rPr>
              <w:t xml:space="preserve">Ergebnis: </w:t>
            </w:r>
          </w:p>
          <w:p w:rsidR="002E21EF" w:rsidRPr="00EC5646" w:rsidRDefault="002E21EF" w:rsidP="005B5A6D">
            <w:pPr>
              <w:tabs>
                <w:tab w:val="left" w:pos="284"/>
                <w:tab w:val="right" w:pos="9632"/>
              </w:tabs>
              <w:spacing w:before="80" w:after="60"/>
              <w:rPr>
                <w:rFonts w:ascii="Bradley Hand" w:hAnsi="Bradley Hand"/>
                <w:color w:val="70AD47" w:themeColor="accent6"/>
                <w:sz w:val="24"/>
                <w:szCs w:val="24"/>
              </w:rPr>
            </w:pPr>
          </w:p>
          <w:p w:rsidR="002E21EF" w:rsidRPr="00EC5646" w:rsidRDefault="002E21EF" w:rsidP="005B5A6D">
            <w:pPr>
              <w:tabs>
                <w:tab w:val="left" w:pos="284"/>
                <w:tab w:val="right" w:pos="9632"/>
              </w:tabs>
              <w:spacing w:before="80" w:after="60"/>
              <w:rPr>
                <w:rFonts w:ascii="Bradley Hand" w:hAnsi="Bradley Hand"/>
                <w:color w:val="70AD47" w:themeColor="accent6"/>
                <w:sz w:val="24"/>
                <w:szCs w:val="24"/>
              </w:rPr>
            </w:pPr>
          </w:p>
        </w:tc>
      </w:tr>
    </w:tbl>
    <w:p w:rsidR="002E21EF" w:rsidRPr="00FD769D" w:rsidRDefault="002E21EF" w:rsidP="002E21EF">
      <w:pPr>
        <w:tabs>
          <w:tab w:val="left" w:pos="284"/>
          <w:tab w:val="right" w:pos="9632"/>
        </w:tabs>
        <w:rPr>
          <w:rFonts w:ascii="Bradley Hand" w:hAnsi="Bradley Hand"/>
          <w:color w:val="000000" w:themeColor="text1"/>
          <w:sz w:val="6"/>
          <w:szCs w:val="6"/>
        </w:rPr>
      </w:pPr>
    </w:p>
    <w:p w:rsidR="002E21EF" w:rsidRPr="002728B7" w:rsidRDefault="002E21EF" w:rsidP="002E21EF">
      <w:pPr>
        <w:tabs>
          <w:tab w:val="left" w:pos="198"/>
          <w:tab w:val="right" w:pos="9632"/>
        </w:tabs>
        <w:spacing w:before="100" w:after="10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2E21EF" w:rsidRPr="00430AC1" w:rsidTr="005B5A6D">
        <w:tc>
          <w:tcPr>
            <w:tcW w:w="6804" w:type="dxa"/>
            <w:tcBorders>
              <w:bottom w:val="single" w:sz="4" w:space="0" w:color="ED7D31" w:themeColor="accent2"/>
            </w:tcBorders>
            <w:tcMar>
              <w:left w:w="0" w:type="dxa"/>
              <w:right w:w="0" w:type="dxa"/>
            </w:tcMar>
          </w:tcPr>
          <w:p w:rsidR="002E21EF" w:rsidRPr="00C80195" w:rsidRDefault="002E21EF" w:rsidP="005B5A6D">
            <w:pPr>
              <w:tabs>
                <w:tab w:val="left" w:pos="284"/>
                <w:tab w:val="right" w:pos="9632"/>
              </w:tabs>
              <w:rPr>
                <w:rFonts w:ascii="Bradley Hand" w:hAnsi="Bradley Hand"/>
                <w:b/>
                <w:bCs/>
                <w:color w:val="000000" w:themeColor="text1"/>
                <w:sz w:val="24"/>
                <w:szCs w:val="24"/>
              </w:rPr>
            </w:pPr>
            <w:r w:rsidRPr="006E6AA5">
              <w:rPr>
                <w:rFonts w:ascii="Bradley Hand" w:hAnsi="Bradley Hand"/>
                <w:b/>
                <w:bCs/>
                <w:color w:val="ED7D31" w:themeColor="accent2"/>
                <w:sz w:val="24"/>
                <w:szCs w:val="24"/>
              </w:rPr>
              <w:t>Fall E: Arne und Susi</w:t>
            </w:r>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 xml:space="preserve">In Arnes Verwandtschaft trat immer mal wieder die genetisch bedingte Stoffwechselstörung Phenylketonurie auf. Das Allel dafür wird rezessiv vererbt. Es liegt auf Chromosom Nr. 12. </w:t>
            </w:r>
          </w:p>
          <w:p w:rsidR="002E21EF" w:rsidRPr="00430AC1"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Arne ist gesund, seine Mutter ist erkrankt. In der Familie von Susi trat die Krankheit bisher nicht auf. Ein Gentest ergab, dass sie homozygot ist. Beide wünschen sich Kinder, fragen sich aber, welches Erkrankungsrisiko für ihre Kinder wohl bestehen würde. Soll Arne einen Gentest machen? Berate die beiden. Nutze das Kreuzungsquadrat</w:t>
            </w:r>
            <w:r>
              <w:rPr>
                <w:rFonts w:ascii="Bradley Hand" w:hAnsi="Bradley Hand"/>
                <w:color w:val="000000" w:themeColor="text1"/>
                <w:sz w:val="24"/>
                <w:szCs w:val="24"/>
              </w:rPr>
              <w:t xml:space="preserve">. </w:t>
            </w:r>
          </w:p>
        </w:tc>
        <w:tc>
          <w:tcPr>
            <w:tcW w:w="2835" w:type="dxa"/>
            <w:tcBorders>
              <w:bottom w:val="single" w:sz="4" w:space="0" w:color="ED7D31" w:themeColor="accent2"/>
            </w:tcBorders>
            <w:tcMar>
              <w:left w:w="0" w:type="dxa"/>
              <w:right w:w="0" w:type="dxa"/>
            </w:tcMar>
          </w:tcPr>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noProof/>
                <w:color w:val="000000" w:themeColor="text1"/>
              </w:rPr>
              <w:drawing>
                <wp:inline distT="0" distB="0" distL="0" distR="0" wp14:anchorId="6342057D" wp14:editId="76D9892A">
                  <wp:extent cx="1800000" cy="1814173"/>
                  <wp:effectExtent l="0" t="0" r="3810" b="2540"/>
                  <wp:docPr id="13" name="Grafik 13" descr="Ein Bild, das Bildschirm, Gebäude, sitzen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uzungsquadrat_mo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14173"/>
                          </a:xfrm>
                          <a:prstGeom prst="rect">
                            <a:avLst/>
                          </a:prstGeom>
                        </pic:spPr>
                      </pic:pic>
                    </a:graphicData>
                  </a:graphic>
                </wp:inline>
              </w:drawing>
            </w:r>
          </w:p>
        </w:tc>
      </w:tr>
      <w:tr w:rsidR="002E21EF" w:rsidRPr="006E6AA5" w:rsidTr="005B5A6D">
        <w:tc>
          <w:tcPr>
            <w:tcW w:w="9639"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tcMar>
              <w:left w:w="0" w:type="dxa"/>
              <w:right w:w="0" w:type="dxa"/>
            </w:tcMar>
          </w:tcPr>
          <w:p w:rsidR="002E21EF" w:rsidRPr="006E6AA5" w:rsidRDefault="002E21EF" w:rsidP="005B5A6D">
            <w:pPr>
              <w:tabs>
                <w:tab w:val="left" w:pos="284"/>
                <w:tab w:val="right" w:pos="9632"/>
              </w:tabs>
              <w:spacing w:before="80" w:after="60"/>
              <w:rPr>
                <w:rFonts w:ascii="Bradley Hand" w:hAnsi="Bradley Hand"/>
                <w:color w:val="ED7D31" w:themeColor="accent2"/>
                <w:sz w:val="24"/>
                <w:szCs w:val="24"/>
              </w:rPr>
            </w:pPr>
            <w:r w:rsidRPr="006E6AA5">
              <w:rPr>
                <w:rFonts w:ascii="Bradley Hand" w:hAnsi="Bradley Hand"/>
                <w:color w:val="ED7D31" w:themeColor="accent2"/>
                <w:sz w:val="24"/>
                <w:szCs w:val="24"/>
              </w:rPr>
              <w:t xml:space="preserve">Ergebnis: </w:t>
            </w:r>
          </w:p>
          <w:p w:rsidR="002E21EF" w:rsidRPr="006E6AA5" w:rsidRDefault="002E21EF" w:rsidP="005B5A6D">
            <w:pPr>
              <w:tabs>
                <w:tab w:val="left" w:pos="284"/>
                <w:tab w:val="right" w:pos="9632"/>
              </w:tabs>
              <w:spacing w:before="80" w:after="60"/>
              <w:rPr>
                <w:rFonts w:ascii="Bradley Hand" w:hAnsi="Bradley Hand"/>
                <w:color w:val="ED7D31" w:themeColor="accent2"/>
                <w:sz w:val="24"/>
                <w:szCs w:val="24"/>
              </w:rPr>
            </w:pPr>
          </w:p>
          <w:p w:rsidR="002E21EF" w:rsidRPr="006E6AA5" w:rsidRDefault="002E21EF" w:rsidP="005B5A6D">
            <w:pPr>
              <w:tabs>
                <w:tab w:val="left" w:pos="284"/>
                <w:tab w:val="right" w:pos="9632"/>
              </w:tabs>
              <w:spacing w:before="80" w:after="60"/>
              <w:rPr>
                <w:rFonts w:ascii="Bradley Hand" w:hAnsi="Bradley Hand"/>
                <w:color w:val="ED7D31" w:themeColor="accent2"/>
                <w:sz w:val="24"/>
                <w:szCs w:val="24"/>
              </w:rPr>
            </w:pPr>
          </w:p>
        </w:tc>
      </w:tr>
    </w:tbl>
    <w:p w:rsidR="002E21EF" w:rsidRPr="00FD769D" w:rsidRDefault="002E21EF" w:rsidP="002E21EF">
      <w:pPr>
        <w:tabs>
          <w:tab w:val="left" w:pos="284"/>
          <w:tab w:val="right" w:pos="9632"/>
        </w:tabs>
        <w:rPr>
          <w:rFonts w:ascii="Bradley Hand" w:hAnsi="Bradley Hand"/>
          <w:color w:val="000000" w:themeColor="text1"/>
          <w:sz w:val="6"/>
          <w:szCs w:val="6"/>
        </w:rPr>
      </w:pPr>
    </w:p>
    <w:p w:rsidR="002E21EF" w:rsidRPr="002728B7" w:rsidRDefault="002E21EF" w:rsidP="002E21EF">
      <w:pPr>
        <w:tabs>
          <w:tab w:val="left" w:pos="198"/>
          <w:tab w:val="right" w:pos="9632"/>
        </w:tabs>
        <w:spacing w:before="100" w:after="10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2E21EF" w:rsidRPr="00430AC1" w:rsidTr="005B5A6D">
        <w:tc>
          <w:tcPr>
            <w:tcW w:w="6804" w:type="dxa"/>
            <w:tcBorders>
              <w:bottom w:val="single" w:sz="4" w:space="0" w:color="00B0F0"/>
            </w:tcBorders>
            <w:tcMar>
              <w:left w:w="0" w:type="dxa"/>
              <w:right w:w="0" w:type="dxa"/>
            </w:tcMar>
          </w:tcPr>
          <w:p w:rsidR="002E21EF" w:rsidRPr="00C80195" w:rsidRDefault="002E21EF" w:rsidP="005B5A6D">
            <w:pPr>
              <w:tabs>
                <w:tab w:val="left" w:pos="284"/>
                <w:tab w:val="right" w:pos="9632"/>
              </w:tabs>
              <w:rPr>
                <w:rFonts w:ascii="Bradley Hand" w:hAnsi="Bradley Hand"/>
                <w:b/>
                <w:bCs/>
                <w:color w:val="000000" w:themeColor="text1"/>
                <w:sz w:val="24"/>
                <w:szCs w:val="24"/>
              </w:rPr>
            </w:pPr>
            <w:r w:rsidRPr="006E6AA5">
              <w:rPr>
                <w:rFonts w:ascii="Bradley Hand" w:hAnsi="Bradley Hand"/>
                <w:b/>
                <w:bCs/>
                <w:color w:val="00B0F0"/>
                <w:sz w:val="24"/>
                <w:szCs w:val="24"/>
              </w:rPr>
              <w:t>Fall F: Jens und Lea</w:t>
            </w:r>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Jens leidet -wie andere in seiner Familie- an einer genetisch bedingten Knochenwachstumsstörung</w:t>
            </w:r>
            <w:r>
              <w:rPr>
                <w:rFonts w:ascii="Bradley Hand" w:hAnsi="Bradley Hand"/>
                <w:color w:val="000000" w:themeColor="text1"/>
                <w:sz w:val="24"/>
                <w:szCs w:val="24"/>
              </w:rPr>
              <w:t xml:space="preserve"> (sog. Phosphatdiabetes)</w:t>
            </w:r>
            <w:r w:rsidRPr="00C80195">
              <w:rPr>
                <w:rFonts w:ascii="Bradley Hand" w:hAnsi="Bradley Hand"/>
                <w:color w:val="000000" w:themeColor="text1"/>
                <w:sz w:val="24"/>
                <w:szCs w:val="24"/>
              </w:rPr>
              <w:t xml:space="preserve">. Das Allel dafür wird dominant vererbt und liegt auf dem X-Chromosom. </w:t>
            </w:r>
          </w:p>
          <w:p w:rsidR="002E21EF" w:rsidRPr="00C80195"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Jens Partnerin Lea ist gesund; in ihrer Familie trat die Krankheit bisher nicht auf. Beide wünschen sich Kinder, fragen sich aber, welches Erkrankungsrisiko für diese wohl bestehen würde. Sollen sie einen Gentest machen lassen?</w:t>
            </w:r>
          </w:p>
          <w:p w:rsidR="002E21EF" w:rsidRPr="00430AC1" w:rsidRDefault="002E21EF" w:rsidP="005B5A6D">
            <w:pPr>
              <w:tabs>
                <w:tab w:val="left" w:pos="284"/>
                <w:tab w:val="right" w:pos="9632"/>
              </w:tabs>
              <w:rPr>
                <w:rFonts w:ascii="Bradley Hand" w:hAnsi="Bradley Hand"/>
                <w:color w:val="000000" w:themeColor="text1"/>
                <w:sz w:val="24"/>
                <w:szCs w:val="24"/>
              </w:rPr>
            </w:pPr>
            <w:r w:rsidRPr="00C80195">
              <w:rPr>
                <w:rFonts w:ascii="Bradley Hand" w:hAnsi="Bradley Hand"/>
                <w:color w:val="000000" w:themeColor="text1"/>
                <w:sz w:val="24"/>
                <w:szCs w:val="24"/>
              </w:rPr>
              <w:t>Berate Lea und Jens hinsichtlich eines Gentests und des Risikos für ihre Kindern. Nutze das Kreuzungsquadrat</w:t>
            </w:r>
            <w:r>
              <w:rPr>
                <w:rFonts w:ascii="Bradley Hand" w:hAnsi="Bradley Hand"/>
                <w:color w:val="000000" w:themeColor="text1"/>
                <w:sz w:val="24"/>
                <w:szCs w:val="24"/>
              </w:rPr>
              <w:t xml:space="preserve">. </w:t>
            </w:r>
          </w:p>
        </w:tc>
        <w:tc>
          <w:tcPr>
            <w:tcW w:w="2835" w:type="dxa"/>
            <w:tcBorders>
              <w:bottom w:val="single" w:sz="4" w:space="0" w:color="00B0F0"/>
            </w:tcBorders>
            <w:tcMar>
              <w:left w:w="0" w:type="dxa"/>
              <w:right w:w="0" w:type="dxa"/>
            </w:tcMar>
          </w:tcPr>
          <w:p w:rsidR="002E21EF" w:rsidRPr="00430AC1" w:rsidRDefault="002E21EF" w:rsidP="005B5A6D">
            <w:pPr>
              <w:tabs>
                <w:tab w:val="left" w:pos="284"/>
                <w:tab w:val="right" w:pos="9632"/>
              </w:tabs>
              <w:rPr>
                <w:rFonts w:ascii="Bradley Hand" w:hAnsi="Bradley Hand"/>
                <w:color w:val="000000" w:themeColor="text1"/>
                <w:sz w:val="24"/>
                <w:szCs w:val="24"/>
              </w:rPr>
            </w:pPr>
            <w:r w:rsidRPr="00430AC1">
              <w:rPr>
                <w:rFonts w:ascii="Bradley Hand" w:hAnsi="Bradley Hand"/>
                <w:noProof/>
                <w:color w:val="000000" w:themeColor="text1"/>
              </w:rPr>
              <w:drawing>
                <wp:inline distT="0" distB="0" distL="0" distR="0" wp14:anchorId="126FFAA9" wp14:editId="6CEFD62C">
                  <wp:extent cx="1800000" cy="1814173"/>
                  <wp:effectExtent l="0" t="0" r="3810" b="2540"/>
                  <wp:docPr id="14" name="Grafik 14" descr="Ein Bild, das Bildschirm, Gebäude, sitzen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uzungsquadrat_mo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14173"/>
                          </a:xfrm>
                          <a:prstGeom prst="rect">
                            <a:avLst/>
                          </a:prstGeom>
                        </pic:spPr>
                      </pic:pic>
                    </a:graphicData>
                  </a:graphic>
                </wp:inline>
              </w:drawing>
            </w:r>
          </w:p>
        </w:tc>
      </w:tr>
      <w:tr w:rsidR="002E21EF" w:rsidRPr="006E6AA5" w:rsidTr="005B5A6D">
        <w:tc>
          <w:tcPr>
            <w:tcW w:w="9639" w:type="dxa"/>
            <w:gridSpan w:val="2"/>
            <w:tcBorders>
              <w:top w:val="single" w:sz="4" w:space="0" w:color="00B0F0"/>
              <w:left w:val="single" w:sz="4" w:space="0" w:color="00B0F0"/>
              <w:bottom w:val="single" w:sz="4" w:space="0" w:color="00B0F0"/>
              <w:right w:val="single" w:sz="4" w:space="0" w:color="00B0F0"/>
            </w:tcBorders>
            <w:tcMar>
              <w:left w:w="0" w:type="dxa"/>
              <w:right w:w="0" w:type="dxa"/>
            </w:tcMar>
          </w:tcPr>
          <w:p w:rsidR="002E21EF" w:rsidRPr="006E6AA5" w:rsidRDefault="002E21EF" w:rsidP="005B5A6D">
            <w:pPr>
              <w:tabs>
                <w:tab w:val="left" w:pos="284"/>
                <w:tab w:val="right" w:pos="9632"/>
              </w:tabs>
              <w:spacing w:before="80" w:after="60"/>
              <w:rPr>
                <w:rFonts w:ascii="Bradley Hand" w:hAnsi="Bradley Hand"/>
                <w:color w:val="00B0F0"/>
                <w:sz w:val="24"/>
                <w:szCs w:val="24"/>
              </w:rPr>
            </w:pPr>
            <w:r w:rsidRPr="006E6AA5">
              <w:rPr>
                <w:rFonts w:ascii="Bradley Hand" w:hAnsi="Bradley Hand"/>
                <w:color w:val="00B0F0"/>
                <w:sz w:val="24"/>
                <w:szCs w:val="24"/>
              </w:rPr>
              <w:t xml:space="preserve">Ergebnis: </w:t>
            </w:r>
          </w:p>
          <w:p w:rsidR="002E21EF" w:rsidRPr="006E6AA5" w:rsidRDefault="002E21EF" w:rsidP="005B5A6D">
            <w:pPr>
              <w:tabs>
                <w:tab w:val="left" w:pos="284"/>
                <w:tab w:val="right" w:pos="9632"/>
              </w:tabs>
              <w:spacing w:before="80" w:after="60"/>
              <w:rPr>
                <w:rFonts w:ascii="Bradley Hand" w:hAnsi="Bradley Hand"/>
                <w:color w:val="00B0F0"/>
                <w:sz w:val="24"/>
                <w:szCs w:val="24"/>
              </w:rPr>
            </w:pPr>
          </w:p>
          <w:p w:rsidR="002E21EF" w:rsidRPr="006E6AA5" w:rsidRDefault="002E21EF" w:rsidP="005B5A6D">
            <w:pPr>
              <w:tabs>
                <w:tab w:val="left" w:pos="284"/>
                <w:tab w:val="right" w:pos="9632"/>
              </w:tabs>
              <w:spacing w:before="80" w:after="60"/>
              <w:rPr>
                <w:rFonts w:ascii="Bradley Hand" w:hAnsi="Bradley Hand"/>
                <w:color w:val="00B0F0"/>
                <w:sz w:val="24"/>
                <w:szCs w:val="24"/>
              </w:rPr>
            </w:pPr>
          </w:p>
        </w:tc>
      </w:tr>
    </w:tbl>
    <w:p w:rsidR="002E21EF" w:rsidRPr="00FD769D" w:rsidRDefault="002E21EF" w:rsidP="002E21EF">
      <w:pPr>
        <w:tabs>
          <w:tab w:val="left" w:pos="284"/>
          <w:tab w:val="right" w:pos="9632"/>
        </w:tabs>
        <w:rPr>
          <w:rFonts w:ascii="Bradley Hand" w:hAnsi="Bradley Hand"/>
          <w:color w:val="000000" w:themeColor="text1"/>
          <w:sz w:val="6"/>
          <w:szCs w:val="6"/>
        </w:rPr>
      </w:pPr>
    </w:p>
    <w:p w:rsidR="002E21EF" w:rsidRPr="002728B7" w:rsidRDefault="002E21EF" w:rsidP="002E21EF">
      <w:pPr>
        <w:tabs>
          <w:tab w:val="left" w:pos="198"/>
          <w:tab w:val="right" w:pos="9632"/>
        </w:tabs>
        <w:spacing w:before="120"/>
        <w:ind w:left="198" w:hanging="198"/>
        <w:rPr>
          <w:rFonts w:ascii="Times" w:hAnsi="Times"/>
          <w:sz w:val="6"/>
          <w:szCs w:val="6"/>
          <w:u w:val="single"/>
        </w:rPr>
      </w:pPr>
      <w:r w:rsidRPr="002728B7">
        <w:rPr>
          <w:rFonts w:ascii="Times" w:hAnsi="Times"/>
          <w:sz w:val="6"/>
          <w:szCs w:val="6"/>
          <w:u w:val="single"/>
        </w:rPr>
        <w:tab/>
      </w:r>
      <w:r w:rsidRPr="002728B7">
        <w:rPr>
          <w:rFonts w:ascii="Times" w:hAnsi="Times"/>
          <w:sz w:val="6"/>
          <w:szCs w:val="6"/>
          <w:u w:val="single"/>
        </w:rPr>
        <w:tab/>
      </w:r>
    </w:p>
    <w:sectPr w:rsidR="002E21EF" w:rsidRPr="002728B7" w:rsidSect="00BD5CB4">
      <w:headerReference w:type="default" r:id="rId8"/>
      <w:footerReference w:type="default" r:id="rId9"/>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01CE" w:rsidRDefault="003301CE" w:rsidP="00876D30">
      <w:r>
        <w:separator/>
      </w:r>
    </w:p>
  </w:endnote>
  <w:endnote w:type="continuationSeparator" w:id="0">
    <w:p w:rsidR="003301CE" w:rsidRDefault="003301CE" w:rsidP="008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ZapfHumnst BT">
    <w:altName w:val="Lucida Sans Unicode"/>
    <w:panose1 w:val="020B0604020202020204"/>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FA4525" w:rsidRDefault="00FA4525" w:rsidP="00FA4525">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01CE" w:rsidRDefault="003301CE" w:rsidP="00876D30">
      <w:r>
        <w:separator/>
      </w:r>
    </w:p>
  </w:footnote>
  <w:footnote w:type="continuationSeparator" w:id="0">
    <w:p w:rsidR="003301CE" w:rsidRDefault="003301CE" w:rsidP="0087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876D30" w:rsidRDefault="00221E28" w:rsidP="00876D30">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5"/>
    <w:rsid w:val="00003BB8"/>
    <w:rsid w:val="000073AE"/>
    <w:rsid w:val="000243B1"/>
    <w:rsid w:val="00036760"/>
    <w:rsid w:val="000658CC"/>
    <w:rsid w:val="00070081"/>
    <w:rsid w:val="00073C8A"/>
    <w:rsid w:val="0008188F"/>
    <w:rsid w:val="000926A9"/>
    <w:rsid w:val="000A40EA"/>
    <w:rsid w:val="000A6AEC"/>
    <w:rsid w:val="000B4983"/>
    <w:rsid w:val="000B54D1"/>
    <w:rsid w:val="000C6125"/>
    <w:rsid w:val="000D49A4"/>
    <w:rsid w:val="00112D17"/>
    <w:rsid w:val="0012525A"/>
    <w:rsid w:val="001304F3"/>
    <w:rsid w:val="00133CAD"/>
    <w:rsid w:val="00144654"/>
    <w:rsid w:val="00147140"/>
    <w:rsid w:val="001509FB"/>
    <w:rsid w:val="001708FD"/>
    <w:rsid w:val="001741F8"/>
    <w:rsid w:val="0017587B"/>
    <w:rsid w:val="00177933"/>
    <w:rsid w:val="00177977"/>
    <w:rsid w:val="00182E34"/>
    <w:rsid w:val="001A2A39"/>
    <w:rsid w:val="001A7F41"/>
    <w:rsid w:val="001B2834"/>
    <w:rsid w:val="001C3D4B"/>
    <w:rsid w:val="001C417D"/>
    <w:rsid w:val="001C66B6"/>
    <w:rsid w:val="001E26AB"/>
    <w:rsid w:val="002006DF"/>
    <w:rsid w:val="00221E28"/>
    <w:rsid w:val="00227205"/>
    <w:rsid w:val="00230485"/>
    <w:rsid w:val="00233FC6"/>
    <w:rsid w:val="002624BD"/>
    <w:rsid w:val="00265B4C"/>
    <w:rsid w:val="002728B7"/>
    <w:rsid w:val="002A4073"/>
    <w:rsid w:val="002A59E1"/>
    <w:rsid w:val="002C0DC2"/>
    <w:rsid w:val="002D67BD"/>
    <w:rsid w:val="002E21EF"/>
    <w:rsid w:val="002F01C8"/>
    <w:rsid w:val="002F552F"/>
    <w:rsid w:val="00306438"/>
    <w:rsid w:val="0031266A"/>
    <w:rsid w:val="00316D8E"/>
    <w:rsid w:val="003301CE"/>
    <w:rsid w:val="00336940"/>
    <w:rsid w:val="003654C5"/>
    <w:rsid w:val="00373019"/>
    <w:rsid w:val="003A2735"/>
    <w:rsid w:val="003B60AF"/>
    <w:rsid w:val="003C29C4"/>
    <w:rsid w:val="003C35BC"/>
    <w:rsid w:val="003F2566"/>
    <w:rsid w:val="00401AC3"/>
    <w:rsid w:val="00427061"/>
    <w:rsid w:val="00430AC1"/>
    <w:rsid w:val="00432DAB"/>
    <w:rsid w:val="004643F3"/>
    <w:rsid w:val="0047015D"/>
    <w:rsid w:val="00473348"/>
    <w:rsid w:val="004859C5"/>
    <w:rsid w:val="00490FAB"/>
    <w:rsid w:val="004A2E2F"/>
    <w:rsid w:val="004A4E81"/>
    <w:rsid w:val="004B5132"/>
    <w:rsid w:val="004B5AAB"/>
    <w:rsid w:val="004C24E3"/>
    <w:rsid w:val="004D503B"/>
    <w:rsid w:val="004F32EB"/>
    <w:rsid w:val="0053187C"/>
    <w:rsid w:val="00555358"/>
    <w:rsid w:val="0055684F"/>
    <w:rsid w:val="00580868"/>
    <w:rsid w:val="00583FDC"/>
    <w:rsid w:val="00594219"/>
    <w:rsid w:val="005C5B95"/>
    <w:rsid w:val="005F38BB"/>
    <w:rsid w:val="005F7510"/>
    <w:rsid w:val="00601393"/>
    <w:rsid w:val="00620F62"/>
    <w:rsid w:val="00645152"/>
    <w:rsid w:val="006575EE"/>
    <w:rsid w:val="00660365"/>
    <w:rsid w:val="00663CEC"/>
    <w:rsid w:val="00664D78"/>
    <w:rsid w:val="006765DA"/>
    <w:rsid w:val="00693817"/>
    <w:rsid w:val="00693C16"/>
    <w:rsid w:val="006A69B8"/>
    <w:rsid w:val="006A7D8B"/>
    <w:rsid w:val="006B0C82"/>
    <w:rsid w:val="006B406F"/>
    <w:rsid w:val="006B543D"/>
    <w:rsid w:val="006D51B9"/>
    <w:rsid w:val="006E6AA5"/>
    <w:rsid w:val="006F05CE"/>
    <w:rsid w:val="006F4302"/>
    <w:rsid w:val="007125A7"/>
    <w:rsid w:val="00714A04"/>
    <w:rsid w:val="0073525A"/>
    <w:rsid w:val="00744DA5"/>
    <w:rsid w:val="00761F43"/>
    <w:rsid w:val="00781A7A"/>
    <w:rsid w:val="00790440"/>
    <w:rsid w:val="00793F46"/>
    <w:rsid w:val="00795275"/>
    <w:rsid w:val="007A795C"/>
    <w:rsid w:val="007B3E35"/>
    <w:rsid w:val="007C1DD1"/>
    <w:rsid w:val="007C270C"/>
    <w:rsid w:val="007C4F7F"/>
    <w:rsid w:val="007D3131"/>
    <w:rsid w:val="007F15BA"/>
    <w:rsid w:val="007F4197"/>
    <w:rsid w:val="00813103"/>
    <w:rsid w:val="00836974"/>
    <w:rsid w:val="00845AF2"/>
    <w:rsid w:val="00847C37"/>
    <w:rsid w:val="00850344"/>
    <w:rsid w:val="00853321"/>
    <w:rsid w:val="0085539D"/>
    <w:rsid w:val="00861B28"/>
    <w:rsid w:val="0086260B"/>
    <w:rsid w:val="00862B0A"/>
    <w:rsid w:val="00876C48"/>
    <w:rsid w:val="00876D30"/>
    <w:rsid w:val="00886509"/>
    <w:rsid w:val="00886C4A"/>
    <w:rsid w:val="0089496F"/>
    <w:rsid w:val="008A3315"/>
    <w:rsid w:val="008A65C5"/>
    <w:rsid w:val="008B05DE"/>
    <w:rsid w:val="008C7960"/>
    <w:rsid w:val="008D3EC8"/>
    <w:rsid w:val="008E330D"/>
    <w:rsid w:val="008F4E73"/>
    <w:rsid w:val="00907789"/>
    <w:rsid w:val="009339CD"/>
    <w:rsid w:val="0093618C"/>
    <w:rsid w:val="00937021"/>
    <w:rsid w:val="00953C3B"/>
    <w:rsid w:val="00966845"/>
    <w:rsid w:val="00977312"/>
    <w:rsid w:val="00995511"/>
    <w:rsid w:val="009A503B"/>
    <w:rsid w:val="009D4EB1"/>
    <w:rsid w:val="009F28C7"/>
    <w:rsid w:val="009F4B91"/>
    <w:rsid w:val="00A207E0"/>
    <w:rsid w:val="00A21598"/>
    <w:rsid w:val="00A32C6C"/>
    <w:rsid w:val="00A33DD5"/>
    <w:rsid w:val="00A7652F"/>
    <w:rsid w:val="00A81797"/>
    <w:rsid w:val="00A82DFD"/>
    <w:rsid w:val="00A90663"/>
    <w:rsid w:val="00AC0D89"/>
    <w:rsid w:val="00AC7D17"/>
    <w:rsid w:val="00AD0E2F"/>
    <w:rsid w:val="00AF04D4"/>
    <w:rsid w:val="00AF3D03"/>
    <w:rsid w:val="00AF57F0"/>
    <w:rsid w:val="00B11508"/>
    <w:rsid w:val="00B44426"/>
    <w:rsid w:val="00B540BA"/>
    <w:rsid w:val="00B61041"/>
    <w:rsid w:val="00B779AF"/>
    <w:rsid w:val="00B841E6"/>
    <w:rsid w:val="00B92268"/>
    <w:rsid w:val="00B92F1B"/>
    <w:rsid w:val="00BA37B7"/>
    <w:rsid w:val="00BA5622"/>
    <w:rsid w:val="00BA7972"/>
    <w:rsid w:val="00BC2DFF"/>
    <w:rsid w:val="00BD5CB4"/>
    <w:rsid w:val="00BD6F8F"/>
    <w:rsid w:val="00BE5019"/>
    <w:rsid w:val="00BE602D"/>
    <w:rsid w:val="00C01EBB"/>
    <w:rsid w:val="00C12699"/>
    <w:rsid w:val="00C16993"/>
    <w:rsid w:val="00C22645"/>
    <w:rsid w:val="00C2783F"/>
    <w:rsid w:val="00C31438"/>
    <w:rsid w:val="00C31B0E"/>
    <w:rsid w:val="00C3704D"/>
    <w:rsid w:val="00C630F2"/>
    <w:rsid w:val="00C67057"/>
    <w:rsid w:val="00C80195"/>
    <w:rsid w:val="00C805E9"/>
    <w:rsid w:val="00C86B4F"/>
    <w:rsid w:val="00CC3857"/>
    <w:rsid w:val="00CC6385"/>
    <w:rsid w:val="00CD07A0"/>
    <w:rsid w:val="00D0494D"/>
    <w:rsid w:val="00D333D2"/>
    <w:rsid w:val="00D40F9E"/>
    <w:rsid w:val="00D47651"/>
    <w:rsid w:val="00D55524"/>
    <w:rsid w:val="00D605C9"/>
    <w:rsid w:val="00D74801"/>
    <w:rsid w:val="00D80C3E"/>
    <w:rsid w:val="00D92CE9"/>
    <w:rsid w:val="00D96C5C"/>
    <w:rsid w:val="00DD7D75"/>
    <w:rsid w:val="00E12125"/>
    <w:rsid w:val="00E1335C"/>
    <w:rsid w:val="00E16E4C"/>
    <w:rsid w:val="00E237F1"/>
    <w:rsid w:val="00E23FF3"/>
    <w:rsid w:val="00E3143B"/>
    <w:rsid w:val="00E42702"/>
    <w:rsid w:val="00E64B62"/>
    <w:rsid w:val="00E71D7D"/>
    <w:rsid w:val="00E73B80"/>
    <w:rsid w:val="00E7679F"/>
    <w:rsid w:val="00E96A2D"/>
    <w:rsid w:val="00EA2F93"/>
    <w:rsid w:val="00EA3D20"/>
    <w:rsid w:val="00EB613B"/>
    <w:rsid w:val="00EC2666"/>
    <w:rsid w:val="00EC5646"/>
    <w:rsid w:val="00EC69B8"/>
    <w:rsid w:val="00ED0BDD"/>
    <w:rsid w:val="00EE3E6C"/>
    <w:rsid w:val="00EE7782"/>
    <w:rsid w:val="00EF486A"/>
    <w:rsid w:val="00F11764"/>
    <w:rsid w:val="00F16F71"/>
    <w:rsid w:val="00F21198"/>
    <w:rsid w:val="00F22C55"/>
    <w:rsid w:val="00F478B1"/>
    <w:rsid w:val="00F50FD3"/>
    <w:rsid w:val="00F53EC8"/>
    <w:rsid w:val="00F62E4F"/>
    <w:rsid w:val="00F633BE"/>
    <w:rsid w:val="00F718BA"/>
    <w:rsid w:val="00F7377E"/>
    <w:rsid w:val="00F75333"/>
    <w:rsid w:val="00F8186B"/>
    <w:rsid w:val="00F8640E"/>
    <w:rsid w:val="00FA2061"/>
    <w:rsid w:val="00FA4525"/>
    <w:rsid w:val="00FB1715"/>
    <w:rsid w:val="00FB49B9"/>
    <w:rsid w:val="00FB7E31"/>
    <w:rsid w:val="00FD437B"/>
    <w:rsid w:val="00FD769D"/>
    <w:rsid w:val="00FE2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D6711"/>
  <w15:chartTrackingRefBased/>
  <w15:docId w15:val="{F8B8D4C1-D442-0542-8B06-7B654B6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B95"/>
    <w:rPr>
      <w:rFonts w:ascii="Tahoma" w:eastAsia="Times New Roman" w:hAnsi="Tahom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C5B95"/>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
    <w:name w:val="Normal/o"/>
    <w:basedOn w:val="Standard"/>
    <w:rsid w:val="005C5B95"/>
    <w:pPr>
      <w:tabs>
        <w:tab w:val="left" w:pos="700"/>
        <w:tab w:val="left" w:pos="960"/>
      </w:tabs>
      <w:spacing w:line="280" w:lineRule="atLeast"/>
    </w:pPr>
    <w:rPr>
      <w:rFonts w:ascii="Helvetica" w:hAnsi="Helvetica"/>
      <w:sz w:val="22"/>
      <w:szCs w:val="20"/>
      <w:lang w:eastAsia="de-DE"/>
    </w:rPr>
  </w:style>
  <w:style w:type="paragraph" w:customStyle="1" w:styleId="Standard1">
    <w:name w:val="Standard1"/>
    <w:basedOn w:val="Textkrper"/>
    <w:rsid w:val="005C5B95"/>
    <w:pPr>
      <w:widowControl w:val="0"/>
      <w:spacing w:after="0"/>
      <w:jc w:val="both"/>
    </w:pPr>
    <w:rPr>
      <w:rFonts w:ascii="ZapfHumnst BT" w:hAnsi="ZapfHumnst BT"/>
      <w:snapToGrid w:val="0"/>
      <w:szCs w:val="20"/>
      <w:lang w:eastAsia="de-DE"/>
    </w:rPr>
  </w:style>
  <w:style w:type="paragraph" w:styleId="Textkrper">
    <w:name w:val="Body Text"/>
    <w:basedOn w:val="Standard"/>
    <w:link w:val="TextkrperZchn"/>
    <w:uiPriority w:val="99"/>
    <w:semiHidden/>
    <w:unhideWhenUsed/>
    <w:rsid w:val="005C5B95"/>
    <w:pPr>
      <w:spacing w:after="120"/>
    </w:pPr>
  </w:style>
  <w:style w:type="character" w:customStyle="1" w:styleId="TextkrperZchn">
    <w:name w:val="Textkörper Zchn"/>
    <w:basedOn w:val="Absatz-Standardschriftart"/>
    <w:link w:val="Textkrper"/>
    <w:uiPriority w:val="99"/>
    <w:semiHidden/>
    <w:rsid w:val="005C5B95"/>
    <w:rPr>
      <w:rFonts w:ascii="Tahoma" w:eastAsia="Times New Roman" w:hAnsi="Tahoma" w:cs="Times New Roman"/>
    </w:rPr>
  </w:style>
  <w:style w:type="paragraph" w:styleId="Listenabsatz">
    <w:name w:val="List Paragraph"/>
    <w:basedOn w:val="Standard"/>
    <w:uiPriority w:val="34"/>
    <w:qFormat/>
    <w:rsid w:val="00AF04D4"/>
    <w:pPr>
      <w:ind w:left="720"/>
      <w:contextualSpacing/>
    </w:pPr>
  </w:style>
  <w:style w:type="paragraph" w:styleId="Kopfzeile">
    <w:name w:val="header"/>
    <w:basedOn w:val="Standard"/>
    <w:link w:val="KopfzeileZchn"/>
    <w:unhideWhenUsed/>
    <w:rsid w:val="00876D30"/>
    <w:pPr>
      <w:tabs>
        <w:tab w:val="center" w:pos="4536"/>
        <w:tab w:val="right" w:pos="9072"/>
      </w:tabs>
    </w:pPr>
  </w:style>
  <w:style w:type="character" w:customStyle="1" w:styleId="KopfzeileZchn">
    <w:name w:val="Kopfzeile Zchn"/>
    <w:basedOn w:val="Absatz-Standardschriftart"/>
    <w:link w:val="Kopfzeile"/>
    <w:rsid w:val="00876D30"/>
    <w:rPr>
      <w:rFonts w:ascii="Tahoma" w:eastAsia="Times New Roman" w:hAnsi="Tahoma" w:cs="Times New Roman"/>
    </w:rPr>
  </w:style>
  <w:style w:type="paragraph" w:styleId="Fuzeile">
    <w:name w:val="footer"/>
    <w:basedOn w:val="Standard"/>
    <w:link w:val="FuzeileZchn"/>
    <w:uiPriority w:val="99"/>
    <w:unhideWhenUsed/>
    <w:rsid w:val="00876D30"/>
    <w:pPr>
      <w:tabs>
        <w:tab w:val="center" w:pos="4536"/>
        <w:tab w:val="right" w:pos="9072"/>
      </w:tabs>
    </w:pPr>
  </w:style>
  <w:style w:type="character" w:customStyle="1" w:styleId="FuzeileZchn">
    <w:name w:val="Fußzeile Zchn"/>
    <w:basedOn w:val="Absatz-Standardschriftart"/>
    <w:link w:val="Fuzeile"/>
    <w:uiPriority w:val="99"/>
    <w:rsid w:val="00876D30"/>
    <w:rPr>
      <w:rFonts w:ascii="Tahoma" w:eastAsia="Times New Roman"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Sven Gemballa</cp:lastModifiedBy>
  <cp:revision>207</cp:revision>
  <cp:lastPrinted>2020-10-06T10:50:00Z</cp:lastPrinted>
  <dcterms:created xsi:type="dcterms:W3CDTF">2019-07-02T12:37:00Z</dcterms:created>
  <dcterms:modified xsi:type="dcterms:W3CDTF">2020-12-17T20:48:00Z</dcterms:modified>
</cp:coreProperties>
</file>