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1E6" w:rsidRDefault="006131E6" w:rsidP="006131E6">
      <w:pPr>
        <w:pStyle w:val="Kopfzeile"/>
        <w:ind w:left="2836"/>
        <w:rPr>
          <w:rFonts w:ascii="Century Gothic" w:hAnsi="Century Gothic"/>
        </w:rPr>
      </w:pPr>
      <w:r>
        <w:rPr>
          <w:rFonts w:ascii="Century Gothic" w:hAnsi="Century Gothic"/>
          <w:noProof/>
          <w:lang w:eastAsia="de-DE" w:bidi="ar-SA"/>
        </w:rPr>
        <w:drawing>
          <wp:anchor distT="0" distB="0" distL="114300" distR="114300" simplePos="0" relativeHeight="251659264" behindDoc="0" locked="0" layoutInCell="1" allowOverlap="1" wp14:anchorId="1A297E2B" wp14:editId="44D9F2E4">
            <wp:simplePos x="0" y="0"/>
            <wp:positionH relativeFrom="column">
              <wp:posOffset>-493395</wp:posOffset>
            </wp:positionH>
            <wp:positionV relativeFrom="paragraph">
              <wp:posOffset>-266700</wp:posOffset>
            </wp:positionV>
            <wp:extent cx="3884295" cy="985520"/>
            <wp:effectExtent l="0" t="0" r="1905" b="5080"/>
            <wp:wrapTight wrapText="bothSides">
              <wp:wrapPolygon edited="0">
                <wp:start x="0" y="0"/>
                <wp:lineTo x="0" y="21294"/>
                <wp:lineTo x="21505" y="21294"/>
                <wp:lineTo x="21505"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84295" cy="985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3EFC">
        <w:rPr>
          <w:rFonts w:ascii="Century Gothic" w:hAnsi="Century Gothic"/>
        </w:rPr>
        <w:t xml:space="preserve">                                                                                          Handlungsfeld: _____                                                                                          </w:t>
      </w:r>
      <w:r>
        <w:rPr>
          <w:rFonts w:ascii="Century Gothic" w:hAnsi="Century Gothic"/>
        </w:rPr>
        <w:t>Lernfeld: ______</w:t>
      </w:r>
    </w:p>
    <w:p w:rsidR="006131E6" w:rsidRPr="003C3EFC" w:rsidRDefault="006131E6" w:rsidP="006131E6">
      <w:pPr>
        <w:pStyle w:val="Kopfzeile"/>
        <w:ind w:left="2836"/>
        <w:rPr>
          <w:rFonts w:ascii="Century Gothic" w:hAnsi="Century Gothic"/>
        </w:rPr>
      </w:pPr>
      <w:r w:rsidRPr="003C3EFC">
        <w:rPr>
          <w:rFonts w:ascii="Century Gothic" w:hAnsi="Century Gothic"/>
        </w:rPr>
        <w:t>Datum: ____________</w:t>
      </w:r>
    </w:p>
    <w:p w:rsidR="003907F0" w:rsidRDefault="003907F0" w:rsidP="003907F0">
      <w:pPr>
        <w:spacing w:line="360" w:lineRule="auto"/>
        <w:rPr>
          <w:rFonts w:ascii="Century Gothic" w:eastAsia="SimSun" w:hAnsi="Century Gothic" w:cs="Mangal"/>
          <w:kern w:val="3"/>
          <w:sz w:val="24"/>
          <w:szCs w:val="24"/>
          <w:lang w:eastAsia="zh-CN" w:bidi="hi-IN"/>
        </w:rPr>
      </w:pPr>
    </w:p>
    <w:p w:rsidR="003907F0" w:rsidRPr="003907F0" w:rsidRDefault="00B73EF2" w:rsidP="003907F0">
      <w:pPr>
        <w:spacing w:line="360" w:lineRule="auto"/>
        <w:jc w:val="center"/>
        <w:rPr>
          <w:rFonts w:ascii="Century Gothic" w:eastAsia="SimSun" w:hAnsi="Century Gothic" w:cs="Mangal"/>
          <w:kern w:val="3"/>
          <w:sz w:val="24"/>
          <w:szCs w:val="24"/>
          <w:lang w:eastAsia="zh-CN" w:bidi="hi-IN"/>
        </w:rPr>
      </w:pPr>
      <w:r w:rsidRPr="00B82A8F">
        <w:rPr>
          <w:rFonts w:ascii="Century Gothic" w:hAnsi="Century Gothic"/>
          <w:b/>
          <w:sz w:val="24"/>
        </w:rPr>
        <w:t>Das Bild vom Kind im Wandel</w:t>
      </w:r>
    </w:p>
    <w:p w:rsidR="00B73EF2" w:rsidRPr="003907F0" w:rsidRDefault="00B73EF2" w:rsidP="003907F0">
      <w:pPr>
        <w:spacing w:line="360" w:lineRule="auto"/>
        <w:jc w:val="center"/>
        <w:rPr>
          <w:rFonts w:ascii="Century Gothic" w:hAnsi="Century Gothic"/>
          <w:b/>
          <w:sz w:val="24"/>
        </w:rPr>
      </w:pPr>
      <w:r w:rsidRPr="00456517">
        <w:rPr>
          <w:rFonts w:ascii="Century Gothic" w:hAnsi="Century Gothic"/>
        </w:rPr>
        <w:t xml:space="preserve">Die Kindheitsphase stellt die Grundlage für weitere Lebensphasen dar. Hier lernt der Mensch, entdeckt Neues und lernt Dinge zu bewältigen. </w:t>
      </w:r>
    </w:p>
    <w:p w:rsidR="00B73EF2" w:rsidRPr="00456517" w:rsidRDefault="00B73EF2" w:rsidP="00456517">
      <w:pPr>
        <w:spacing w:line="360" w:lineRule="auto"/>
        <w:jc w:val="both"/>
        <w:rPr>
          <w:rFonts w:ascii="Century Gothic" w:hAnsi="Century Gothic"/>
        </w:rPr>
      </w:pPr>
      <w:r w:rsidRPr="00456517">
        <w:rPr>
          <w:rFonts w:ascii="Century Gothic" w:hAnsi="Century Gothic"/>
        </w:rPr>
        <w:t xml:space="preserve">Aber der Umgang mit Kindheit hat sich stark verändert. Nicht immer wurde dieser Lebensphase ein so hoher und bedeutsamer Stellenwert zugesprochen.  </w:t>
      </w:r>
    </w:p>
    <w:p w:rsidR="00B73EF2" w:rsidRPr="00456517" w:rsidRDefault="00B73EF2" w:rsidP="00456517">
      <w:pPr>
        <w:spacing w:line="360" w:lineRule="auto"/>
        <w:jc w:val="both"/>
        <w:rPr>
          <w:rFonts w:ascii="Century Gothic" w:hAnsi="Century Gothic"/>
          <w:b/>
        </w:rPr>
      </w:pPr>
      <w:r w:rsidRPr="00456517">
        <w:rPr>
          <w:rFonts w:ascii="Century Gothic" w:hAnsi="Century Gothic"/>
          <w:b/>
        </w:rPr>
        <w:t xml:space="preserve">Kindheit im Mittelalter </w:t>
      </w:r>
    </w:p>
    <w:p w:rsidR="00B73EF2" w:rsidRDefault="00B73EF2" w:rsidP="00456517">
      <w:pPr>
        <w:spacing w:line="360" w:lineRule="auto"/>
        <w:jc w:val="both"/>
        <w:rPr>
          <w:rFonts w:ascii="Century Gothic" w:hAnsi="Century Gothic"/>
        </w:rPr>
      </w:pPr>
      <w:r w:rsidRPr="00456517">
        <w:rPr>
          <w:rFonts w:ascii="Century Gothic" w:hAnsi="Century Gothic"/>
        </w:rPr>
        <w:t xml:space="preserve">Die Kindheit im Mittelalter endete mit ca. 7 bis 8 Jahren, dann lebten Kinder in der Erwachsenenwelt. Bildung und Erziehung hatte, gerade in einfachen Bauernfamilien, so gut wie keinen Stellenwert. Kinder wurden hier als Arbeitskräfte eingesetzt und sollten der Altersversorgung dienen.  Lediglich die Kinder der reichen Adelsleute bekamen die Möglichkeit in Klöstern erzogen und gebildet zu werden. Mit dem Buchdruck (1450) veränderte sich die „Kindheit“ langsam, indem der Wunsch aufkam das Geschriebene auch lesen zu können.  </w:t>
      </w:r>
      <w:r w:rsidR="00456517" w:rsidRPr="00456517">
        <w:rPr>
          <w:rFonts w:ascii="Century Gothic" w:hAnsi="Century Gothic"/>
        </w:rPr>
        <w:t>Erste Schulen entstanden, welche zunächst aber nur K</w:t>
      </w:r>
      <w:r w:rsidRPr="00456517">
        <w:rPr>
          <w:rFonts w:ascii="Century Gothic" w:hAnsi="Century Gothic"/>
        </w:rPr>
        <w:t>inder</w:t>
      </w:r>
      <w:r w:rsidR="00456517" w:rsidRPr="00456517">
        <w:rPr>
          <w:rFonts w:ascii="Century Gothic" w:hAnsi="Century Gothic"/>
        </w:rPr>
        <w:t>n</w:t>
      </w:r>
      <w:r w:rsidRPr="00456517">
        <w:rPr>
          <w:rFonts w:ascii="Century Gothic" w:hAnsi="Century Gothic"/>
        </w:rPr>
        <w:t xml:space="preserve"> reicher Kaufleute </w:t>
      </w:r>
      <w:r w:rsidR="00456517" w:rsidRPr="00456517">
        <w:rPr>
          <w:rFonts w:ascii="Century Gothic" w:hAnsi="Century Gothic"/>
        </w:rPr>
        <w:t xml:space="preserve">vorenthalten </w:t>
      </w:r>
      <w:r w:rsidR="001A2F13">
        <w:rPr>
          <w:rFonts w:ascii="Century Gothic" w:hAnsi="Century Gothic"/>
        </w:rPr>
        <w:t>blieben</w:t>
      </w:r>
      <w:r w:rsidR="00456517" w:rsidRPr="00456517">
        <w:rPr>
          <w:rFonts w:ascii="Century Gothic" w:hAnsi="Century Gothic"/>
        </w:rPr>
        <w:t>. Nach und nach verlängerte sich die Phase der Kindheit und das Lernen wurde dieser Phase zu</w:t>
      </w:r>
      <w:r w:rsidR="001A2F13">
        <w:rPr>
          <w:rFonts w:ascii="Century Gothic" w:hAnsi="Century Gothic"/>
        </w:rPr>
        <w:t>geschrieben</w:t>
      </w:r>
      <w:r w:rsidR="00456517" w:rsidRPr="00456517">
        <w:rPr>
          <w:rFonts w:ascii="Century Gothic" w:hAnsi="Century Gothic"/>
        </w:rPr>
        <w:t xml:space="preserve">. </w:t>
      </w:r>
    </w:p>
    <w:p w:rsidR="00456517" w:rsidRDefault="00456517" w:rsidP="00456517">
      <w:pPr>
        <w:spacing w:line="360" w:lineRule="auto"/>
        <w:jc w:val="both"/>
        <w:rPr>
          <w:rFonts w:ascii="Century Gothic" w:hAnsi="Century Gothic"/>
          <w:b/>
        </w:rPr>
      </w:pPr>
      <w:r w:rsidRPr="00456517">
        <w:rPr>
          <w:rFonts w:ascii="Century Gothic" w:hAnsi="Century Gothic"/>
          <w:b/>
        </w:rPr>
        <w:t xml:space="preserve">Kindheit im 18. Jahrhundert </w:t>
      </w:r>
    </w:p>
    <w:p w:rsidR="00456517" w:rsidRDefault="00144B79" w:rsidP="00456517">
      <w:pPr>
        <w:spacing w:line="360" w:lineRule="auto"/>
        <w:jc w:val="both"/>
        <w:rPr>
          <w:rFonts w:ascii="Century Gothic" w:hAnsi="Century Gothic"/>
        </w:rPr>
      </w:pPr>
      <w:r>
        <w:rPr>
          <w:rFonts w:ascii="Century Gothic" w:hAnsi="Century Gothic"/>
        </w:rPr>
        <w:t>Zu Beginn des 18.</w:t>
      </w:r>
      <w:r w:rsidR="00456517">
        <w:rPr>
          <w:rFonts w:ascii="Century Gothic" w:hAnsi="Century Gothic"/>
        </w:rPr>
        <w:t xml:space="preserve"> </w:t>
      </w:r>
      <w:r>
        <w:rPr>
          <w:rFonts w:ascii="Century Gothic" w:hAnsi="Century Gothic"/>
        </w:rPr>
        <w:t>Jahrhunderts</w:t>
      </w:r>
      <w:r w:rsidR="00456517">
        <w:rPr>
          <w:rFonts w:ascii="Century Gothic" w:hAnsi="Century Gothic"/>
        </w:rPr>
        <w:t xml:space="preserve"> galt Kindheit als etwas Defizitäres, das</w:t>
      </w:r>
      <w:r>
        <w:rPr>
          <w:rFonts w:ascii="Century Gothic" w:hAnsi="Century Gothic"/>
        </w:rPr>
        <w:t xml:space="preserve"> es</w:t>
      </w:r>
      <w:r w:rsidR="006709F0">
        <w:rPr>
          <w:rFonts w:ascii="Century Gothic" w:hAnsi="Century Gothic"/>
        </w:rPr>
        <w:t xml:space="preserve"> </w:t>
      </w:r>
      <w:r w:rsidR="00456517">
        <w:rPr>
          <w:rFonts w:ascii="Century Gothic" w:hAnsi="Century Gothic"/>
        </w:rPr>
        <w:t>möglichst schnell zu überwinden galt. Ein Kind wurde bereits mit 7 Jah</w:t>
      </w:r>
      <w:r w:rsidR="006709F0">
        <w:rPr>
          <w:rFonts w:ascii="Century Gothic" w:hAnsi="Century Gothic"/>
        </w:rPr>
        <w:t xml:space="preserve">ren als Arbeitskraft eingesetzt, </w:t>
      </w:r>
      <w:r w:rsidR="00E500C1">
        <w:rPr>
          <w:rFonts w:ascii="Century Gothic" w:hAnsi="Century Gothic"/>
        </w:rPr>
        <w:t>und somit endete die Kindheit.</w:t>
      </w:r>
      <w:r w:rsidR="00456517">
        <w:rPr>
          <w:rFonts w:ascii="Century Gothic" w:hAnsi="Century Gothic"/>
        </w:rPr>
        <w:t xml:space="preserve"> Kinder waren innerhal</w:t>
      </w:r>
      <w:r>
        <w:rPr>
          <w:rFonts w:ascii="Century Gothic" w:hAnsi="Century Gothic"/>
        </w:rPr>
        <w:t>b der Familie untergeordnet. Der Gedanke, dass Kindheit als eigene Lebensphase angesehen wird, wurde zum ersten Mal im</w:t>
      </w:r>
      <w:r w:rsidR="001A2F13">
        <w:rPr>
          <w:rFonts w:ascii="Century Gothic" w:hAnsi="Century Gothic"/>
        </w:rPr>
        <w:t xml:space="preserve"> </w:t>
      </w:r>
      <w:r w:rsidR="006709F0">
        <w:rPr>
          <w:rFonts w:ascii="Century Gothic" w:hAnsi="Century Gothic"/>
        </w:rPr>
        <w:t xml:space="preserve">18. Jahrhundert sichtbar. </w:t>
      </w:r>
      <w:r>
        <w:rPr>
          <w:rFonts w:ascii="Century Gothic" w:hAnsi="Century Gothic"/>
        </w:rPr>
        <w:t>Jean Jaques Rou</w:t>
      </w:r>
      <w:r w:rsidR="006709F0">
        <w:rPr>
          <w:rFonts w:ascii="Century Gothic" w:hAnsi="Century Gothic"/>
        </w:rPr>
        <w:t xml:space="preserve">sseau verfasste 1762 sein Werk </w:t>
      </w:r>
      <w:r>
        <w:rPr>
          <w:rFonts w:ascii="Century Gothic" w:hAnsi="Century Gothic"/>
        </w:rPr>
        <w:t>„Emilie und die Erzie</w:t>
      </w:r>
      <w:r w:rsidR="006709F0">
        <w:rPr>
          <w:rFonts w:ascii="Century Gothic" w:hAnsi="Century Gothic"/>
        </w:rPr>
        <w:t>hung“</w:t>
      </w:r>
      <w:r>
        <w:rPr>
          <w:rFonts w:ascii="Century Gothic" w:hAnsi="Century Gothic"/>
        </w:rPr>
        <w:t>, indem</w:t>
      </w:r>
      <w:r w:rsidR="001A2F13">
        <w:rPr>
          <w:rFonts w:ascii="Century Gothic" w:hAnsi="Century Gothic"/>
        </w:rPr>
        <w:t xml:space="preserve"> er</w:t>
      </w:r>
      <w:r>
        <w:rPr>
          <w:rFonts w:ascii="Century Gothic" w:hAnsi="Century Gothic"/>
        </w:rPr>
        <w:t xml:space="preserve"> ein positives Menschenbild beschrieb. Er entfernte sich von dem Bild, dass Kinder „dressiert“ werden müssen und näherte sich vielmehr </w:t>
      </w:r>
      <w:r w:rsidR="001A2F13">
        <w:rPr>
          <w:rFonts w:ascii="Century Gothic" w:hAnsi="Century Gothic"/>
        </w:rPr>
        <w:t xml:space="preserve">dem Gedanken des entdeckenden Lernens. </w:t>
      </w:r>
    </w:p>
    <w:p w:rsidR="00144B79" w:rsidRDefault="00144B79" w:rsidP="00456517">
      <w:pPr>
        <w:spacing w:line="360" w:lineRule="auto"/>
        <w:jc w:val="both"/>
        <w:rPr>
          <w:rFonts w:ascii="Century Gothic" w:hAnsi="Century Gothic"/>
          <w:b/>
        </w:rPr>
      </w:pPr>
      <w:r w:rsidRPr="00144B79">
        <w:rPr>
          <w:rFonts w:ascii="Century Gothic" w:hAnsi="Century Gothic"/>
          <w:b/>
        </w:rPr>
        <w:t xml:space="preserve">Kindheit im 19. Jahrhundert </w:t>
      </w:r>
    </w:p>
    <w:p w:rsidR="00EF310D" w:rsidRDefault="00144B79" w:rsidP="00456517">
      <w:pPr>
        <w:spacing w:line="360" w:lineRule="auto"/>
        <w:jc w:val="both"/>
        <w:rPr>
          <w:rFonts w:ascii="Century Gothic" w:hAnsi="Century Gothic"/>
        </w:rPr>
      </w:pPr>
      <w:r>
        <w:rPr>
          <w:rFonts w:ascii="Century Gothic" w:hAnsi="Century Gothic"/>
        </w:rPr>
        <w:lastRenderedPageBreak/>
        <w:t xml:space="preserve">Die gesellschaftliche Haltung dem Menschen gegenüber wurde stark durch den Leitspruch „Freiheit, Gleichheit, Brüderlichkeit“, welcher mit der Französischen Revolution (1789)aufkam, geprägt. Es festigte sich die  Haltung, dass Kinder ein Recht auf eine liebevolle Begleitung und Erziehung haben und sich nach den Gesetzen der Natur entwickeln. </w:t>
      </w:r>
      <w:r w:rsidR="001A2F13">
        <w:rPr>
          <w:rFonts w:ascii="Century Gothic" w:hAnsi="Century Gothic"/>
        </w:rPr>
        <w:t>Zudem</w:t>
      </w:r>
      <w:r w:rsidR="00EF310D">
        <w:rPr>
          <w:rFonts w:ascii="Century Gothic" w:hAnsi="Century Gothic"/>
        </w:rPr>
        <w:t xml:space="preserve"> </w:t>
      </w:r>
      <w:r w:rsidR="001A2F13">
        <w:rPr>
          <w:rFonts w:ascii="Century Gothic" w:hAnsi="Century Gothic"/>
        </w:rPr>
        <w:t>erhärtete</w:t>
      </w:r>
      <w:r w:rsidR="00EF310D">
        <w:rPr>
          <w:rFonts w:ascii="Century Gothic" w:hAnsi="Century Gothic"/>
        </w:rPr>
        <w:t xml:space="preserve"> sich </w:t>
      </w:r>
      <w:r w:rsidR="001A2F13">
        <w:rPr>
          <w:rFonts w:ascii="Century Gothic" w:hAnsi="Century Gothic"/>
        </w:rPr>
        <w:t>d</w:t>
      </w:r>
      <w:r w:rsidR="00EF310D">
        <w:rPr>
          <w:rFonts w:ascii="Century Gothic" w:hAnsi="Century Gothic"/>
        </w:rPr>
        <w:t xml:space="preserve">er Gedanke, dass alle Kinder diese Rechte haben und die Anlagen mitbringen, losgelöst von dem finanziellen oder gesellschaftlichen Stand ihres Elternhauses. Seit dem Ende des 19. Jahrhunderts kann man behaupten, dass die Kindheit sich als eigenständige Phase ihren Platz bestritten hat. </w:t>
      </w:r>
      <w:r w:rsidR="001A2F13">
        <w:rPr>
          <w:rFonts w:ascii="Century Gothic" w:hAnsi="Century Gothic"/>
        </w:rPr>
        <w:t>Damit ging</w:t>
      </w:r>
      <w:r w:rsidR="00EF310D">
        <w:rPr>
          <w:rFonts w:ascii="Century Gothic" w:hAnsi="Century Gothic"/>
        </w:rPr>
        <w:t xml:space="preserve"> einher, dass</w:t>
      </w:r>
    </w:p>
    <w:p w:rsidR="00EF310D" w:rsidRPr="00B82A8F" w:rsidRDefault="00EF310D" w:rsidP="00EF310D">
      <w:pPr>
        <w:pStyle w:val="Listenabsatz"/>
        <w:numPr>
          <w:ilvl w:val="0"/>
          <w:numId w:val="1"/>
        </w:numPr>
        <w:spacing w:line="360" w:lineRule="auto"/>
        <w:jc w:val="both"/>
        <w:rPr>
          <w:rFonts w:ascii="Century Gothic" w:hAnsi="Century Gothic"/>
          <w:sz w:val="20"/>
        </w:rPr>
      </w:pPr>
      <w:r w:rsidRPr="00B82A8F">
        <w:rPr>
          <w:rFonts w:ascii="Century Gothic" w:hAnsi="Century Gothic"/>
          <w:sz w:val="20"/>
        </w:rPr>
        <w:t xml:space="preserve">Berufsgruppen entstanden (Kinderarzt, Kindergärtnerin,...)  </w:t>
      </w:r>
    </w:p>
    <w:p w:rsidR="00EF310D" w:rsidRPr="00B82A8F" w:rsidRDefault="00EF310D" w:rsidP="00EF310D">
      <w:pPr>
        <w:pStyle w:val="Listenabsatz"/>
        <w:numPr>
          <w:ilvl w:val="0"/>
          <w:numId w:val="1"/>
        </w:numPr>
        <w:spacing w:line="360" w:lineRule="auto"/>
        <w:jc w:val="both"/>
        <w:rPr>
          <w:rFonts w:ascii="Century Gothic" w:hAnsi="Century Gothic"/>
          <w:sz w:val="20"/>
        </w:rPr>
      </w:pPr>
      <w:r w:rsidRPr="00B82A8F">
        <w:rPr>
          <w:rFonts w:ascii="Century Gothic" w:hAnsi="Century Gothic"/>
          <w:sz w:val="20"/>
        </w:rPr>
        <w:t xml:space="preserve">Kinderbezogene Materialien entwickelt wurden (Kleidung, Spielzeug, Bücher,…) </w:t>
      </w:r>
    </w:p>
    <w:p w:rsidR="00EF310D" w:rsidRPr="00B82A8F" w:rsidRDefault="00EF310D" w:rsidP="00EF310D">
      <w:pPr>
        <w:pStyle w:val="Listenabsatz"/>
        <w:numPr>
          <w:ilvl w:val="0"/>
          <w:numId w:val="1"/>
        </w:numPr>
        <w:spacing w:line="360" w:lineRule="auto"/>
        <w:jc w:val="both"/>
        <w:rPr>
          <w:rFonts w:ascii="Century Gothic" w:hAnsi="Century Gothic"/>
          <w:sz w:val="20"/>
        </w:rPr>
      </w:pPr>
      <w:r w:rsidRPr="00B82A8F">
        <w:rPr>
          <w:rFonts w:ascii="Century Gothic" w:hAnsi="Century Gothic"/>
          <w:sz w:val="20"/>
        </w:rPr>
        <w:t xml:space="preserve">Schonräume entstanden (Tod, Sexualität, Schutzbestimmungen,…) </w:t>
      </w:r>
    </w:p>
    <w:p w:rsidR="00EF310D" w:rsidRPr="00B82A8F" w:rsidRDefault="00EF310D" w:rsidP="00EF310D">
      <w:pPr>
        <w:pStyle w:val="Listenabsatz"/>
        <w:numPr>
          <w:ilvl w:val="0"/>
          <w:numId w:val="1"/>
        </w:numPr>
        <w:spacing w:line="360" w:lineRule="auto"/>
        <w:jc w:val="both"/>
        <w:rPr>
          <w:rFonts w:ascii="Century Gothic" w:hAnsi="Century Gothic"/>
          <w:sz w:val="20"/>
        </w:rPr>
      </w:pPr>
      <w:r w:rsidRPr="00B82A8F">
        <w:rPr>
          <w:rFonts w:ascii="Century Gothic" w:hAnsi="Century Gothic"/>
          <w:sz w:val="20"/>
        </w:rPr>
        <w:t xml:space="preserve">Forschungsräume etablierten sich (Pädagogik, Entwicklungspsychologie,…) </w:t>
      </w:r>
    </w:p>
    <w:p w:rsidR="00EF310D" w:rsidRPr="00B82A8F" w:rsidRDefault="00EF310D" w:rsidP="00EF310D">
      <w:pPr>
        <w:pStyle w:val="Listenabsatz"/>
        <w:numPr>
          <w:ilvl w:val="0"/>
          <w:numId w:val="1"/>
        </w:numPr>
        <w:spacing w:line="360" w:lineRule="auto"/>
        <w:jc w:val="both"/>
        <w:rPr>
          <w:rFonts w:ascii="Century Gothic" w:hAnsi="Century Gothic"/>
          <w:sz w:val="20"/>
        </w:rPr>
      </w:pPr>
      <w:r w:rsidRPr="00B82A8F">
        <w:rPr>
          <w:rFonts w:ascii="Century Gothic" w:hAnsi="Century Gothic"/>
          <w:sz w:val="20"/>
        </w:rPr>
        <w:t xml:space="preserve">Reformpädagogische Ansätze entwarfen neue Sichtweisen auf das Kind (Montessori, Steiner,…) </w:t>
      </w:r>
      <w:r w:rsidR="00B82A8F">
        <w:rPr>
          <w:rStyle w:val="Funotenzeichen"/>
          <w:rFonts w:ascii="Century Gothic" w:hAnsi="Century Gothic"/>
          <w:sz w:val="20"/>
        </w:rPr>
        <w:footnoteReference w:id="1"/>
      </w:r>
    </w:p>
    <w:p w:rsidR="003907F0" w:rsidRDefault="00EF310D" w:rsidP="00EF310D">
      <w:pPr>
        <w:spacing w:line="360" w:lineRule="auto"/>
        <w:jc w:val="both"/>
        <w:rPr>
          <w:rFonts w:ascii="Century Gothic" w:hAnsi="Century Gothic"/>
          <w:b/>
        </w:rPr>
      </w:pPr>
      <w:r w:rsidRPr="00EF310D">
        <w:rPr>
          <w:rFonts w:ascii="Century Gothic" w:hAnsi="Century Gothic"/>
          <w:b/>
        </w:rPr>
        <w:t xml:space="preserve">Kindheit heute </w:t>
      </w:r>
    </w:p>
    <w:p w:rsidR="00EF310D" w:rsidRPr="006709F0" w:rsidRDefault="00EF310D" w:rsidP="00EF310D">
      <w:pPr>
        <w:spacing w:line="360" w:lineRule="auto"/>
        <w:jc w:val="both"/>
        <w:rPr>
          <w:rFonts w:ascii="Century Gothic" w:hAnsi="Century Gothic"/>
        </w:rPr>
      </w:pPr>
      <w:r w:rsidRPr="00EF310D">
        <w:rPr>
          <w:rFonts w:ascii="Century Gothic" w:hAnsi="Century Gothic"/>
        </w:rPr>
        <w:t>Kinder werden heute als „kompetente Kinder“ an</w:t>
      </w:r>
      <w:r w:rsidR="006709F0">
        <w:rPr>
          <w:rFonts w:ascii="Century Gothic" w:hAnsi="Century Gothic"/>
        </w:rPr>
        <w:t xml:space="preserve">gesehen, welche ihre Erziehung </w:t>
      </w:r>
      <w:r w:rsidRPr="00EF310D">
        <w:rPr>
          <w:rFonts w:ascii="Century Gothic" w:hAnsi="Century Gothic"/>
        </w:rPr>
        <w:t xml:space="preserve">und Bildung selbst lenken und gemeinsam mit Erwachsenen </w:t>
      </w:r>
      <w:r>
        <w:rPr>
          <w:rFonts w:ascii="Century Gothic" w:hAnsi="Century Gothic"/>
        </w:rPr>
        <w:t xml:space="preserve">gestalten. Als </w:t>
      </w:r>
      <w:r w:rsidR="00B82A8F">
        <w:rPr>
          <w:rFonts w:ascii="Century Gothic" w:hAnsi="Century Gothic"/>
        </w:rPr>
        <w:t>Konsequenz</w:t>
      </w:r>
      <w:r>
        <w:rPr>
          <w:rFonts w:ascii="Century Gothic" w:hAnsi="Century Gothic"/>
        </w:rPr>
        <w:t xml:space="preserve"> liegt die Verantwortung der Erziehenden darin, die Kinder </w:t>
      </w:r>
      <w:r w:rsidR="00B82A8F">
        <w:rPr>
          <w:rFonts w:ascii="Century Gothic" w:hAnsi="Century Gothic"/>
        </w:rPr>
        <w:t>angemessen zu beteiligen, sie als eigenständige Persönlichkeiten zu respektieren und ihnen, im Rahmen ihrer Möglichkeiten, auch Verantwortung zu übertragen. Erstrebenswerte Erziehungsziele stellen dabei die Förderung der Selbstständigkeit und die Förder</w:t>
      </w:r>
      <w:r w:rsidR="006709F0">
        <w:rPr>
          <w:rFonts w:ascii="Century Gothic" w:hAnsi="Century Gothic"/>
        </w:rPr>
        <w:t xml:space="preserve">ung des sozialen  Miteinanders </w:t>
      </w:r>
      <w:r w:rsidR="00B82A8F">
        <w:rPr>
          <w:rFonts w:ascii="Century Gothic" w:hAnsi="Century Gothic"/>
        </w:rPr>
        <w:t xml:space="preserve">dar. Hierfür brauchen Kinder viele Freiräume und müssen gleichzeitig lernen über die Konsequenzen ihres Handelns nachdenken zu können. </w:t>
      </w:r>
    </w:p>
    <w:p w:rsidR="00B82A8F" w:rsidRPr="00EF310D" w:rsidRDefault="00B82A8F" w:rsidP="00EF310D">
      <w:pPr>
        <w:spacing w:line="360" w:lineRule="auto"/>
        <w:jc w:val="both"/>
        <w:rPr>
          <w:rFonts w:ascii="Century Gothic" w:hAnsi="Century Gothic"/>
        </w:rPr>
      </w:pPr>
      <w:r>
        <w:rPr>
          <w:rFonts w:ascii="Century Gothic" w:hAnsi="Century Gothic"/>
        </w:rPr>
        <w:t xml:space="preserve">Hilfreiche Orientierung bei der Umsetzung dieser, wie auch weiterer Erziehungsziele, bietet der </w:t>
      </w:r>
      <w:proofErr w:type="spellStart"/>
      <w:r>
        <w:rPr>
          <w:rFonts w:ascii="Century Gothic" w:hAnsi="Century Gothic"/>
        </w:rPr>
        <w:t>Bildungs</w:t>
      </w:r>
      <w:proofErr w:type="spellEnd"/>
      <w:r>
        <w:rPr>
          <w:rFonts w:ascii="Century Gothic" w:hAnsi="Century Gothic"/>
        </w:rPr>
        <w:t>,- und Orientierungsplan, welcher versucht die Inhalte von „Bildung“ in der pädagogischen Arbeit mit Kin</w:t>
      </w:r>
      <w:r w:rsidR="006709F0">
        <w:rPr>
          <w:rFonts w:ascii="Century Gothic" w:hAnsi="Century Gothic"/>
        </w:rPr>
        <w:t xml:space="preserve">dern von null bis sechs Jahren </w:t>
      </w:r>
      <w:bookmarkStart w:id="0" w:name="_GoBack"/>
      <w:bookmarkEnd w:id="0"/>
      <w:r>
        <w:rPr>
          <w:rFonts w:ascii="Century Gothic" w:hAnsi="Century Gothic"/>
        </w:rPr>
        <w:t>zu konkretisieren</w:t>
      </w:r>
      <w:r w:rsidR="001132E4">
        <w:rPr>
          <w:rFonts w:ascii="Century Gothic" w:hAnsi="Century Gothic"/>
        </w:rPr>
        <w:t>.</w:t>
      </w:r>
      <w:r w:rsidR="001132E4">
        <w:rPr>
          <w:rStyle w:val="Funotenzeichen"/>
          <w:rFonts w:ascii="Century Gothic" w:hAnsi="Century Gothic"/>
        </w:rPr>
        <w:footnoteReference w:id="2"/>
      </w:r>
    </w:p>
    <w:p w:rsidR="00456517" w:rsidRPr="00456517" w:rsidRDefault="00456517" w:rsidP="00456517">
      <w:pPr>
        <w:spacing w:line="360" w:lineRule="auto"/>
        <w:jc w:val="both"/>
        <w:rPr>
          <w:rFonts w:ascii="Century Gothic" w:hAnsi="Century Gothic"/>
        </w:rPr>
      </w:pPr>
    </w:p>
    <w:sectPr w:rsidR="00456517" w:rsidRPr="004565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35D" w:rsidRDefault="0028335D" w:rsidP="00B82A8F">
      <w:pPr>
        <w:spacing w:after="0" w:line="240" w:lineRule="auto"/>
      </w:pPr>
      <w:r>
        <w:separator/>
      </w:r>
    </w:p>
  </w:endnote>
  <w:endnote w:type="continuationSeparator" w:id="0">
    <w:p w:rsidR="0028335D" w:rsidRDefault="0028335D" w:rsidP="00B82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35D" w:rsidRDefault="0028335D" w:rsidP="00B82A8F">
      <w:pPr>
        <w:spacing w:after="0" w:line="240" w:lineRule="auto"/>
      </w:pPr>
      <w:r>
        <w:separator/>
      </w:r>
    </w:p>
  </w:footnote>
  <w:footnote w:type="continuationSeparator" w:id="0">
    <w:p w:rsidR="0028335D" w:rsidRDefault="0028335D" w:rsidP="00B82A8F">
      <w:pPr>
        <w:spacing w:after="0" w:line="240" w:lineRule="auto"/>
      </w:pPr>
      <w:r>
        <w:continuationSeparator/>
      </w:r>
    </w:p>
  </w:footnote>
  <w:footnote w:id="1">
    <w:p w:rsidR="00B82A8F" w:rsidRPr="00F91D69" w:rsidRDefault="00B82A8F">
      <w:pPr>
        <w:pStyle w:val="Funotentext"/>
        <w:rPr>
          <w:sz w:val="16"/>
          <w:szCs w:val="16"/>
        </w:rPr>
      </w:pPr>
      <w:r w:rsidRPr="00F91D69">
        <w:rPr>
          <w:rStyle w:val="Funotenzeichen"/>
          <w:sz w:val="16"/>
          <w:szCs w:val="16"/>
        </w:rPr>
        <w:footnoteRef/>
      </w:r>
      <w:r w:rsidRPr="00F91D69">
        <w:rPr>
          <w:sz w:val="16"/>
          <w:szCs w:val="16"/>
        </w:rPr>
        <w:t xml:space="preserve"> Vgl. </w:t>
      </w:r>
      <w:r w:rsidR="001132E4" w:rsidRPr="00F91D69">
        <w:rPr>
          <w:rStyle w:val="a-text-bold"/>
          <w:rFonts w:ascii="Arial" w:hAnsi="Arial" w:cs="Arial"/>
          <w:color w:val="0F1111"/>
          <w:sz w:val="16"/>
          <w:szCs w:val="16"/>
          <w:shd w:val="clear" w:color="auto" w:fill="FFFFFF"/>
        </w:rPr>
        <w:t xml:space="preserve"> Herausgeber: </w:t>
      </w:r>
      <w:proofErr w:type="spellStart"/>
      <w:r w:rsidR="001132E4" w:rsidRPr="00F91D69">
        <w:rPr>
          <w:rStyle w:val="a-text-bold"/>
          <w:rFonts w:ascii="Arial" w:hAnsi="Arial" w:cs="Arial"/>
          <w:color w:val="0F1111"/>
          <w:sz w:val="16"/>
          <w:szCs w:val="16"/>
          <w:shd w:val="clear" w:color="auto" w:fill="FFFFFF"/>
        </w:rPr>
        <w:t>Gartinger</w:t>
      </w:r>
      <w:proofErr w:type="spellEnd"/>
      <w:r w:rsidR="001132E4" w:rsidRPr="00F91D69">
        <w:rPr>
          <w:rStyle w:val="a-text-bold"/>
          <w:rFonts w:ascii="Arial" w:hAnsi="Arial" w:cs="Arial"/>
          <w:color w:val="0F1111"/>
          <w:sz w:val="16"/>
          <w:szCs w:val="16"/>
          <w:shd w:val="clear" w:color="auto" w:fill="FFFFFF"/>
        </w:rPr>
        <w:t xml:space="preserve">, Silvia und </w:t>
      </w:r>
      <w:proofErr w:type="spellStart"/>
      <w:r w:rsidR="001132E4" w:rsidRPr="00F91D69">
        <w:rPr>
          <w:rStyle w:val="a-text-bold"/>
          <w:rFonts w:ascii="Arial" w:hAnsi="Arial" w:cs="Arial"/>
          <w:color w:val="0F1111"/>
          <w:sz w:val="16"/>
          <w:szCs w:val="16"/>
          <w:shd w:val="clear" w:color="auto" w:fill="FFFFFF"/>
        </w:rPr>
        <w:t>Janssen</w:t>
      </w:r>
      <w:proofErr w:type="spellEnd"/>
      <w:r w:rsidR="001132E4" w:rsidRPr="00F91D69">
        <w:rPr>
          <w:rStyle w:val="a-text-bold"/>
          <w:rFonts w:ascii="Arial" w:hAnsi="Arial" w:cs="Arial"/>
          <w:color w:val="0F1111"/>
          <w:sz w:val="16"/>
          <w:szCs w:val="16"/>
          <w:shd w:val="clear" w:color="auto" w:fill="FFFFFF"/>
        </w:rPr>
        <w:t xml:space="preserve">, Rolf : Das Bild vom Kind im Wandel, in: Erzieherinnen und Erzieher, Berlin, </w:t>
      </w:r>
      <w:r w:rsidR="001132E4" w:rsidRPr="00F91D69">
        <w:rPr>
          <w:rFonts w:ascii="Arial" w:hAnsi="Arial" w:cs="Arial"/>
          <w:color w:val="0F1111"/>
          <w:sz w:val="16"/>
          <w:szCs w:val="16"/>
          <w:shd w:val="clear" w:color="auto" w:fill="FFFFFF"/>
        </w:rPr>
        <w:t xml:space="preserve">Cornelsen Verlag, 1. Auflage, 2016, S. 160-161 </w:t>
      </w:r>
    </w:p>
  </w:footnote>
  <w:footnote w:id="2">
    <w:p w:rsidR="001132E4" w:rsidRDefault="001132E4">
      <w:pPr>
        <w:pStyle w:val="Funotentext"/>
      </w:pPr>
      <w:r w:rsidRPr="00F91D69">
        <w:rPr>
          <w:rStyle w:val="Funotenzeichen"/>
          <w:sz w:val="16"/>
          <w:szCs w:val="16"/>
        </w:rPr>
        <w:footnoteRef/>
      </w:r>
      <w:r w:rsidRPr="00F91D69">
        <w:rPr>
          <w:sz w:val="16"/>
          <w:szCs w:val="16"/>
        </w:rPr>
        <w:t xml:space="preserve"> Vgl. </w:t>
      </w:r>
      <w:r w:rsidRPr="00F91D69">
        <w:rPr>
          <w:rStyle w:val="a-text-bold"/>
          <w:rFonts w:ascii="Arial" w:hAnsi="Arial" w:cs="Arial"/>
          <w:color w:val="0F1111"/>
          <w:sz w:val="16"/>
          <w:szCs w:val="16"/>
          <w:shd w:val="clear" w:color="auto" w:fill="FFFFFF"/>
        </w:rPr>
        <w:t xml:space="preserve"> Herausgeber: Dr. </w:t>
      </w:r>
      <w:proofErr w:type="spellStart"/>
      <w:r w:rsidRPr="00F91D69">
        <w:rPr>
          <w:rStyle w:val="a-text-bold"/>
          <w:rFonts w:ascii="Arial" w:hAnsi="Arial" w:cs="Arial"/>
          <w:color w:val="0F1111"/>
          <w:sz w:val="16"/>
          <w:szCs w:val="16"/>
          <w:shd w:val="clear" w:color="auto" w:fill="FFFFFF"/>
        </w:rPr>
        <w:t>paed.</w:t>
      </w:r>
      <w:proofErr w:type="spellEnd"/>
      <w:r w:rsidRPr="00F91D69">
        <w:rPr>
          <w:rStyle w:val="a-text-bold"/>
          <w:rFonts w:ascii="Arial" w:hAnsi="Arial" w:cs="Arial"/>
          <w:color w:val="0F1111"/>
          <w:sz w:val="16"/>
          <w:szCs w:val="16"/>
          <w:shd w:val="clear" w:color="auto" w:fill="FFFFFF"/>
        </w:rPr>
        <w:t xml:space="preserve"> Rödel,  Bodo  : Pädagogische Grundlagen, in: Kinderpflege , Berlin, </w:t>
      </w:r>
      <w:r w:rsidRPr="00F91D69">
        <w:rPr>
          <w:rFonts w:ascii="Arial" w:hAnsi="Arial" w:cs="Arial"/>
          <w:color w:val="0F1111"/>
          <w:sz w:val="16"/>
          <w:szCs w:val="16"/>
          <w:shd w:val="clear" w:color="auto" w:fill="FFFFFF"/>
        </w:rPr>
        <w:t>Cornelsen Verlag, 1. Auflage</w:t>
      </w:r>
      <w:r w:rsidR="00F91D69" w:rsidRPr="00F91D69">
        <w:rPr>
          <w:rFonts w:ascii="Arial" w:hAnsi="Arial" w:cs="Arial"/>
          <w:color w:val="0F1111"/>
          <w:sz w:val="16"/>
          <w:szCs w:val="16"/>
          <w:shd w:val="clear" w:color="auto" w:fill="FFFFFF"/>
        </w:rPr>
        <w:t xml:space="preserve"> 3. Druck </w:t>
      </w:r>
      <w:r w:rsidRPr="00F91D69">
        <w:rPr>
          <w:rFonts w:ascii="Arial" w:hAnsi="Arial" w:cs="Arial"/>
          <w:color w:val="0F1111"/>
          <w:sz w:val="16"/>
          <w:szCs w:val="16"/>
          <w:shd w:val="clear" w:color="auto" w:fill="FFFFFF"/>
        </w:rPr>
        <w:t xml:space="preserve">, </w:t>
      </w:r>
      <w:r w:rsidR="00F91D69" w:rsidRPr="00F91D69">
        <w:rPr>
          <w:rFonts w:ascii="Arial" w:hAnsi="Arial" w:cs="Arial"/>
          <w:color w:val="0F1111"/>
          <w:sz w:val="16"/>
          <w:szCs w:val="16"/>
          <w:shd w:val="clear" w:color="auto" w:fill="FFFFFF"/>
        </w:rPr>
        <w:t>2021, S. 48-49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71060E"/>
    <w:multiLevelType w:val="hybridMultilevel"/>
    <w:tmpl w:val="F3FA780C"/>
    <w:lvl w:ilvl="0" w:tplc="FB22F134">
      <w:numFmt w:val="bullet"/>
      <w:lvlText w:val="-"/>
      <w:lvlJc w:val="left"/>
      <w:pPr>
        <w:ind w:left="720" w:hanging="360"/>
      </w:pPr>
      <w:rPr>
        <w:rFonts w:ascii="Century Gothic" w:eastAsiaTheme="minorHAnsi" w:hAnsi="Century Gothic"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EF2"/>
    <w:rsid w:val="001132E4"/>
    <w:rsid w:val="00144B79"/>
    <w:rsid w:val="001A2F13"/>
    <w:rsid w:val="0028335D"/>
    <w:rsid w:val="003907F0"/>
    <w:rsid w:val="00456517"/>
    <w:rsid w:val="006131E6"/>
    <w:rsid w:val="006709F0"/>
    <w:rsid w:val="007524F2"/>
    <w:rsid w:val="00B73EF2"/>
    <w:rsid w:val="00B82A8F"/>
    <w:rsid w:val="00BF7576"/>
    <w:rsid w:val="00E500C1"/>
    <w:rsid w:val="00EF310D"/>
    <w:rsid w:val="00F502F6"/>
    <w:rsid w:val="00F91D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F310D"/>
    <w:pPr>
      <w:ind w:left="720"/>
      <w:contextualSpacing/>
    </w:pPr>
  </w:style>
  <w:style w:type="paragraph" w:styleId="Funotentext">
    <w:name w:val="footnote text"/>
    <w:basedOn w:val="Standard"/>
    <w:link w:val="FunotentextZchn"/>
    <w:uiPriority w:val="99"/>
    <w:semiHidden/>
    <w:unhideWhenUsed/>
    <w:rsid w:val="00B82A8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82A8F"/>
    <w:rPr>
      <w:sz w:val="20"/>
      <w:szCs w:val="20"/>
    </w:rPr>
  </w:style>
  <w:style w:type="character" w:styleId="Funotenzeichen">
    <w:name w:val="footnote reference"/>
    <w:basedOn w:val="Absatz-Standardschriftart"/>
    <w:uiPriority w:val="99"/>
    <w:semiHidden/>
    <w:unhideWhenUsed/>
    <w:rsid w:val="00B82A8F"/>
    <w:rPr>
      <w:vertAlign w:val="superscript"/>
    </w:rPr>
  </w:style>
  <w:style w:type="character" w:customStyle="1" w:styleId="a-text-bold">
    <w:name w:val="a-text-bold"/>
    <w:basedOn w:val="Absatz-Standardschriftart"/>
    <w:rsid w:val="001132E4"/>
  </w:style>
  <w:style w:type="paragraph" w:styleId="Sprechblasentext">
    <w:name w:val="Balloon Text"/>
    <w:basedOn w:val="Standard"/>
    <w:link w:val="SprechblasentextZchn"/>
    <w:uiPriority w:val="99"/>
    <w:semiHidden/>
    <w:unhideWhenUsed/>
    <w:rsid w:val="00E500C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500C1"/>
    <w:rPr>
      <w:rFonts w:ascii="Tahoma" w:hAnsi="Tahoma" w:cs="Tahoma"/>
      <w:sz w:val="16"/>
      <w:szCs w:val="16"/>
    </w:rPr>
  </w:style>
  <w:style w:type="paragraph" w:styleId="Kopfzeile">
    <w:name w:val="header"/>
    <w:basedOn w:val="Standard"/>
    <w:link w:val="KopfzeileZchn"/>
    <w:rsid w:val="003907F0"/>
    <w:pPr>
      <w:widowControl w:val="0"/>
      <w:suppressLineNumbers/>
      <w:tabs>
        <w:tab w:val="center" w:pos="4819"/>
        <w:tab w:val="right" w:pos="9638"/>
      </w:tabs>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KopfzeileZchn">
    <w:name w:val="Kopfzeile Zchn"/>
    <w:basedOn w:val="Absatz-Standardschriftart"/>
    <w:link w:val="Kopfzeile"/>
    <w:rsid w:val="003907F0"/>
    <w:rPr>
      <w:rFonts w:ascii="Times New Roman" w:eastAsia="SimSun" w:hAnsi="Times New Roman" w:cs="Mangal"/>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F310D"/>
    <w:pPr>
      <w:ind w:left="720"/>
      <w:contextualSpacing/>
    </w:pPr>
  </w:style>
  <w:style w:type="paragraph" w:styleId="Funotentext">
    <w:name w:val="footnote text"/>
    <w:basedOn w:val="Standard"/>
    <w:link w:val="FunotentextZchn"/>
    <w:uiPriority w:val="99"/>
    <w:semiHidden/>
    <w:unhideWhenUsed/>
    <w:rsid w:val="00B82A8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82A8F"/>
    <w:rPr>
      <w:sz w:val="20"/>
      <w:szCs w:val="20"/>
    </w:rPr>
  </w:style>
  <w:style w:type="character" w:styleId="Funotenzeichen">
    <w:name w:val="footnote reference"/>
    <w:basedOn w:val="Absatz-Standardschriftart"/>
    <w:uiPriority w:val="99"/>
    <w:semiHidden/>
    <w:unhideWhenUsed/>
    <w:rsid w:val="00B82A8F"/>
    <w:rPr>
      <w:vertAlign w:val="superscript"/>
    </w:rPr>
  </w:style>
  <w:style w:type="character" w:customStyle="1" w:styleId="a-text-bold">
    <w:name w:val="a-text-bold"/>
    <w:basedOn w:val="Absatz-Standardschriftart"/>
    <w:rsid w:val="001132E4"/>
  </w:style>
  <w:style w:type="paragraph" w:styleId="Sprechblasentext">
    <w:name w:val="Balloon Text"/>
    <w:basedOn w:val="Standard"/>
    <w:link w:val="SprechblasentextZchn"/>
    <w:uiPriority w:val="99"/>
    <w:semiHidden/>
    <w:unhideWhenUsed/>
    <w:rsid w:val="00E500C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500C1"/>
    <w:rPr>
      <w:rFonts w:ascii="Tahoma" w:hAnsi="Tahoma" w:cs="Tahoma"/>
      <w:sz w:val="16"/>
      <w:szCs w:val="16"/>
    </w:rPr>
  </w:style>
  <w:style w:type="paragraph" w:styleId="Kopfzeile">
    <w:name w:val="header"/>
    <w:basedOn w:val="Standard"/>
    <w:link w:val="KopfzeileZchn"/>
    <w:rsid w:val="003907F0"/>
    <w:pPr>
      <w:widowControl w:val="0"/>
      <w:suppressLineNumbers/>
      <w:tabs>
        <w:tab w:val="center" w:pos="4819"/>
        <w:tab w:val="right" w:pos="9638"/>
      </w:tabs>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KopfzeileZchn">
    <w:name w:val="Kopfzeile Zchn"/>
    <w:basedOn w:val="Absatz-Standardschriftart"/>
    <w:link w:val="Kopfzeile"/>
    <w:rsid w:val="003907F0"/>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F0E5D-4851-460D-98EE-7D18EC11F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3418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UrtisPC</dc:creator>
  <cp:lastModifiedBy>UrtisPC</cp:lastModifiedBy>
  <cp:revision>2</cp:revision>
  <cp:lastPrinted>2023-01-02T11:57:00Z</cp:lastPrinted>
  <dcterms:created xsi:type="dcterms:W3CDTF">2024-09-28T18:42:00Z</dcterms:created>
  <dcterms:modified xsi:type="dcterms:W3CDTF">2024-09-28T18:42:00Z</dcterms:modified>
</cp:coreProperties>
</file>