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F264" w14:textId="77777777" w:rsidR="00E903F0" w:rsidRPr="00EF5532" w:rsidRDefault="00E903F0" w:rsidP="00CE0FEA">
      <w:pPr>
        <w:rPr>
          <w:rFonts w:ascii="Arial" w:hAnsi="Arial" w:cs="Arial"/>
          <w:sz w:val="12"/>
          <w:szCs w:val="12"/>
        </w:rPr>
      </w:pPr>
    </w:p>
    <w:p w14:paraId="3E0AB886" w14:textId="7875B614" w:rsidR="00767A7E" w:rsidRPr="00B83F1E" w:rsidRDefault="00217787" w:rsidP="00EF5532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Blog M1: </w:t>
      </w:r>
      <w:r w:rsidR="00767A7E" w:rsidRPr="00B83F1E">
        <w:rPr>
          <w:rFonts w:ascii="Arial" w:hAnsi="Arial" w:cs="Arial"/>
          <w:b/>
          <w:sz w:val="26"/>
          <w:szCs w:val="26"/>
        </w:rPr>
        <w:t>ERWARTUNGSHORIZONT</w:t>
      </w:r>
      <w:r w:rsidR="004019B6" w:rsidRPr="00B83F1E">
        <w:rPr>
          <w:rFonts w:ascii="Arial" w:hAnsi="Arial" w:cs="Arial"/>
          <w:b/>
          <w:sz w:val="26"/>
          <w:szCs w:val="26"/>
        </w:rPr>
        <w:t xml:space="preserve"> / SUGGESTED ANSWERS</w:t>
      </w:r>
      <w:r w:rsidR="004019B6" w:rsidRPr="00B83F1E">
        <w:rPr>
          <w:rStyle w:val="Funotenzeichen"/>
          <w:rFonts w:ascii="Arial" w:hAnsi="Arial" w:cs="Arial"/>
          <w:b/>
          <w:sz w:val="26"/>
          <w:szCs w:val="26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185"/>
      </w:tblGrid>
      <w:tr w:rsidR="00D428CD" w:rsidRPr="007B385F" w14:paraId="4D2C640C" w14:textId="77777777" w:rsidTr="00DF32B5">
        <w:tc>
          <w:tcPr>
            <w:tcW w:w="10185" w:type="dxa"/>
            <w:vAlign w:val="center"/>
          </w:tcPr>
          <w:p w14:paraId="425B23B1" w14:textId="77777777" w:rsidR="00EF5532" w:rsidRDefault="00EF5532" w:rsidP="00EF5532">
            <w:pPr>
              <w:spacing w:before="90" w:after="9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Ending child poverty is a policy choice</w:t>
            </w:r>
          </w:p>
          <w:p w14:paraId="3D751F15" w14:textId="77777777" w:rsidR="00EF5532" w:rsidRPr="00646BE7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459" w:hanging="284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proofErr w:type="spellStart"/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Unicef</w:t>
            </w:r>
            <w:proofErr w:type="spellEnd"/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 Blog entry about a </w:t>
            </w:r>
            <w:r w:rsidRPr="00646BE7"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Netflix documentary </w:t>
            </w:r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which captures</w:t>
            </w:r>
            <w:r w:rsidRPr="00646BE7"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 child poverty all over the world </w:t>
            </w:r>
            <w:r w:rsidRPr="00646BE7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no detailed summary expected, some of the following aspects can be included):</w:t>
            </w:r>
          </w:p>
          <w:p w14:paraId="5136440A" w14:textId="77777777" w:rsidR="00EF5532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hanging="263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some of the circumstances covered: families in homeless shelters, single mothers, low and / or unreliable wages, vicious circle of poverty, lack of food; not easy what to spend your money on; many children deprived of basic rights such as healthcare, housing and education; danger of passing on poverty from one generation to the next</w:t>
            </w:r>
          </w:p>
          <w:p w14:paraId="29DD248D" w14:textId="77777777" w:rsidR="00EF5532" w:rsidRPr="002B51D3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8" w:hanging="284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statistics: US: 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vertAlign w:val="superscript"/>
                <w:lang w:val="en-US"/>
              </w:rPr>
              <w:t>1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/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vertAlign w:val="subscript"/>
                <w:lang w:val="en-US"/>
              </w:rPr>
              <w:t>7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of children &amp; EU: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vertAlign w:val="superscript"/>
                <w:lang w:val="en-US"/>
              </w:rPr>
              <w:t xml:space="preserve"> 1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/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vertAlign w:val="subscript"/>
                <w:lang w:val="en-US"/>
              </w:rPr>
              <w:t xml:space="preserve">4 </w:t>
            </w:r>
            <w:r w:rsidRPr="002B51D3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of children at risk of poverty and exclusion; 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vertAlign w:val="superscript"/>
                <w:lang w:val="en-US"/>
              </w:rPr>
              <w:t>3</w:t>
            </w:r>
            <w:r w:rsidRPr="002B51D3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/</w:t>
            </w:r>
            <w:proofErr w:type="gramStart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vertAlign w:val="subscript"/>
                <w:lang w:val="en-US"/>
              </w:rPr>
              <w:t>4</w:t>
            </w:r>
            <w:r w:rsidRPr="002B51D3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 of</w:t>
            </w:r>
            <w:proofErr w:type="gramEnd"/>
            <w:r w:rsidRPr="002B51D3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children world-wide have no access to social protection systems; more than 50% of mothers do not get maternity benefits; single mothers as well as Black and Hispanic households are more likely to be poor</w:t>
            </w:r>
          </w:p>
          <w:p w14:paraId="23D004CC" w14:textId="77777777" w:rsidR="00EF5532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8" w:hanging="284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What can be done: social protection systems, family-friendly policies, child benefits, paid maternity / parental leave, childcare services, the opportunity for women to work; cash assistance during crises, healthcare, education, (affordable) housing; support for parents and children</w:t>
            </w:r>
          </w:p>
          <w:p w14:paraId="3C6D6E47" w14:textId="7E54DC33" w:rsidR="00B945C2" w:rsidRPr="002F688B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14" w:hanging="2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CTA to get involved (many different ways are listed such as taking a stance, supporting </w:t>
            </w:r>
            <w:proofErr w:type="spellStart"/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programmes</w:t>
            </w:r>
            <w:proofErr w:type="spellEnd"/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calling attention to certain </w:t>
            </w:r>
            <w:proofErr w:type="spellStart"/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programmes</w:t>
            </w:r>
            <w:proofErr w:type="spellEnd"/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, address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ing</w:t>
            </w:r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policy-makers</w:t>
            </w:r>
            <w:proofErr w:type="gramEnd"/>
            <w:r w:rsidRPr="00646BE7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)</w:t>
            </w:r>
          </w:p>
        </w:tc>
      </w:tr>
      <w:tr w:rsidR="00EF5532" w:rsidRPr="007B385F" w14:paraId="2C8827B1" w14:textId="77777777" w:rsidTr="00E91FD2">
        <w:tc>
          <w:tcPr>
            <w:tcW w:w="10185" w:type="dxa"/>
            <w:vAlign w:val="center"/>
          </w:tcPr>
          <w:p w14:paraId="36B11243" w14:textId="77777777" w:rsidR="00EF5532" w:rsidRDefault="00EF5532" w:rsidP="00EF5532">
            <w:pPr>
              <w:spacing w:before="90" w:after="9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On Peace, Justice &amp; Structural Violence</w:t>
            </w:r>
          </w:p>
          <w:p w14:paraId="42165F7E" w14:textId="77777777" w:rsidR="00EF5532" w:rsidRPr="00B739B8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454" w:hanging="283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 w:rsidRPr="00B739B8"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Blog entry published on the Student Blog: ‘Debates in Peace &amp; Conflict’ (Centre for Peace and Conflict Studies; </w:t>
            </w:r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St Andrews, Fife, </w:t>
            </w:r>
            <w:r w:rsidRPr="00B739B8"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Scotland</w:t>
            </w:r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)</w:t>
            </w:r>
          </w:p>
          <w:p w14:paraId="6F5A45BA" w14:textId="77777777" w:rsidR="00EF5532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454" w:hanging="283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This specific blog entry is a very personal approach to the overall topic from someone’s point of view who has taken part in a huge range of protests</w:t>
            </w:r>
          </w:p>
          <w:p w14:paraId="7531F26B" w14:textId="77777777" w:rsidR="00EF5532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8" w:hanging="378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central message: equality / </w:t>
            </w:r>
            <w:proofErr w:type="gramStart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justice  =</w:t>
            </w:r>
            <w:proofErr w:type="gramEnd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basic requirement for peace and non-violence  </w:t>
            </w:r>
            <w:r w:rsidRPr="00B945C2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sym w:font="Wingdings" w:char="F0E0"/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the basic concept of violence referred to in this blog entry = “structural violence”, i.e. all kinds of deprivations</w:t>
            </w:r>
          </w:p>
          <w:p w14:paraId="182DEAD6" w14:textId="77777777" w:rsidR="00EF5532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8" w:hanging="378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And as peace is linked with “non-violence”, peace cannot exist </w:t>
            </w:r>
            <w:proofErr w:type="gramStart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as long as</w:t>
            </w:r>
            <w:proofErr w:type="gramEnd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there is injustice, which does not automatically mean that a state cannot be peaceful, on the contrary, many peaceful states experience structural violence (</w:t>
            </w:r>
            <w:r w:rsidRPr="007A79A0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sym w:font="Wingdings" w:char="F0E0"/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inequality)</w:t>
            </w:r>
          </w:p>
          <w:p w14:paraId="3496BFE0" w14:textId="77777777" w:rsidR="00EF5532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8" w:hanging="378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Nevertheless, according to the author, there is a connection between structural violence (</w:t>
            </w:r>
            <w:r w:rsidRPr="007A79A0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sym w:font="Wingdings" w:char="F0E0"/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inequality) and physical violence: for </w:t>
            </w:r>
            <w:proofErr w:type="gramStart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example</w:t>
            </w:r>
            <w:proofErr w:type="gramEnd"/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higher rates of crime, gang violence, political conflicts, suppression of protests, etc.</w:t>
            </w:r>
          </w:p>
          <w:p w14:paraId="7D6BD2EF" w14:textId="164BCDB1" w:rsidR="00EF5532" w:rsidRPr="00646BE7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8" w:hanging="28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C</w:t>
            </w:r>
            <w:r w:rsidRPr="00541CBA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TA to get involved (three suggestions: supporting the “right” politicians; participation in “grassroots movements”; </w:t>
            </w: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not to be ignorant</w:t>
            </w:r>
            <w:r w:rsidRPr="00541CBA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)</w:t>
            </w:r>
          </w:p>
        </w:tc>
      </w:tr>
      <w:tr w:rsidR="00EF5532" w:rsidRPr="007B385F" w14:paraId="5802EDCE" w14:textId="77777777" w:rsidTr="00174EAD">
        <w:tc>
          <w:tcPr>
            <w:tcW w:w="10185" w:type="dxa"/>
            <w:vAlign w:val="center"/>
          </w:tcPr>
          <w:p w14:paraId="09D11230" w14:textId="77777777" w:rsidR="00EF5532" w:rsidRDefault="00EF5532" w:rsidP="00EF5532">
            <w:pPr>
              <w:spacing w:before="90" w:after="9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Black Lives Matter – Being an Ally</w:t>
            </w:r>
          </w:p>
          <w:p w14:paraId="34B37954" w14:textId="77777777" w:rsidR="00EF553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ind w:left="454" w:hanging="28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1596D">
              <w:rPr>
                <w:rFonts w:ascii="Arial" w:hAnsi="Arial" w:cs="Arial"/>
                <w:sz w:val="21"/>
                <w:szCs w:val="21"/>
                <w:lang w:val="en-US"/>
              </w:rPr>
              <w:t>The main idea of this blog entry by a British blogger is to raise awareness for the Bla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ck Lives Matter, a</w:t>
            </w:r>
            <w:r w:rsidRPr="0091596D">
              <w:rPr>
                <w:rFonts w:ascii="Arial" w:hAnsi="Arial" w:cs="Arial"/>
                <w:sz w:val="21"/>
                <w:szCs w:val="21"/>
                <w:lang w:val="en-US"/>
              </w:rPr>
              <w:t xml:space="preserve"> movement which started in the US after several fatal incidents of police violence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, and to share examples of how you can get active yourself (not all examples must be mentioned in detail):</w:t>
            </w:r>
          </w:p>
          <w:p w14:paraId="644266B4" w14:textId="77777777" w:rsidR="00EF553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</w:t>
            </w:r>
            <w:r w:rsidRPr="00B75ACB">
              <w:rPr>
                <w:rFonts w:ascii="Arial" w:hAnsi="Arial" w:cs="Arial"/>
                <w:sz w:val="21"/>
                <w:szCs w:val="21"/>
                <w:lang w:val="en-US"/>
              </w:rPr>
              <w:t>oing research: several examples are mentioned why dealing with Black history more thoroughly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is important; for instance:</w:t>
            </w:r>
          </w:p>
          <w:p w14:paraId="626AE367" w14:textId="77777777" w:rsidR="00EF553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ind w:left="1163" w:hanging="425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racial wealth and unemployment gap and far lower rate of black homeownership</w:t>
            </w:r>
          </w:p>
          <w:p w14:paraId="39A2C25B" w14:textId="77777777" w:rsidR="00EF553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ind w:left="1163" w:hanging="425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differential treatment and racial bias (criminal justice system and law enforcement)</w:t>
            </w:r>
          </w:p>
          <w:p w14:paraId="3406F207" w14:textId="77777777" w:rsidR="00EF553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ind w:left="1163" w:hanging="425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84A72">
              <w:rPr>
                <w:rFonts w:ascii="Arial" w:hAnsi="Arial" w:cs="Arial"/>
                <w:sz w:val="21"/>
                <w:szCs w:val="21"/>
                <w:lang w:val="en-US"/>
              </w:rPr>
              <w:t>“Redlining” (discriminatory practice of denying minorities certain areas and certain financial transactions)</w:t>
            </w:r>
          </w:p>
          <w:p w14:paraId="097FCFA3" w14:textId="77777777" w:rsidR="00EF5532" w:rsidRPr="00584A7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ind w:left="1163" w:hanging="425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CTA: comparison to the civil rights movement and Black Lives Matter: getting informed and getting active (straight away and not waiting for Black History Month)</w:t>
            </w:r>
          </w:p>
          <w:p w14:paraId="074D5292" w14:textId="77777777" w:rsidR="00EF5532" w:rsidRPr="00B83F1E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83F1E">
              <w:rPr>
                <w:rFonts w:ascii="Arial" w:hAnsi="Arial" w:cs="Arial"/>
                <w:sz w:val="21"/>
                <w:szCs w:val="21"/>
                <w:lang w:val="en-US"/>
              </w:rPr>
              <w:t>Contributing (= getting active) by means of petitions or donations</w:t>
            </w:r>
          </w:p>
          <w:p w14:paraId="3C6560EA" w14:textId="77777777" w:rsidR="00EF5532" w:rsidRDefault="00EF5532" w:rsidP="00EF5532">
            <w:pPr>
              <w:pStyle w:val="Listenabsatz"/>
              <w:numPr>
                <w:ilvl w:val="0"/>
                <w:numId w:val="2"/>
              </w:numPr>
              <w:spacing w:before="90" w:after="9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education: </w:t>
            </w:r>
          </w:p>
          <w:p w14:paraId="5C703736" w14:textId="1843BB7D" w:rsidR="00EF5532" w:rsidRPr="00541CBA" w:rsidRDefault="00EF5532" w:rsidP="00EF5532">
            <w:pPr>
              <w:pStyle w:val="Listenabsatz"/>
              <w:numPr>
                <w:ilvl w:val="0"/>
                <w:numId w:val="1"/>
              </w:numPr>
              <w:spacing w:before="90" w:after="90"/>
              <w:ind w:left="737" w:hanging="38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83F1E">
              <w:rPr>
                <w:rFonts w:ascii="Arial" w:hAnsi="Arial" w:cs="Arial"/>
                <w:sz w:val="21"/>
                <w:szCs w:val="21"/>
                <w:lang w:val="en-US"/>
              </w:rPr>
              <w:t xml:space="preserve">sharing information on social media does make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a </w:t>
            </w:r>
            <w:r w:rsidRPr="00B83F1E">
              <w:rPr>
                <w:rFonts w:ascii="Arial" w:hAnsi="Arial" w:cs="Arial"/>
                <w:sz w:val="21"/>
                <w:szCs w:val="21"/>
                <w:lang w:val="en-US"/>
              </w:rPr>
              <w:t xml:space="preserve">difference / commenting on racist </w:t>
            </w:r>
            <w:proofErr w:type="spellStart"/>
            <w:r w:rsidRPr="00B83F1E">
              <w:rPr>
                <w:rFonts w:ascii="Arial" w:hAnsi="Arial" w:cs="Arial"/>
                <w:sz w:val="21"/>
                <w:szCs w:val="21"/>
                <w:lang w:val="en-US"/>
              </w:rPr>
              <w:t>behaviour</w:t>
            </w:r>
            <w:proofErr w:type="spellEnd"/>
            <w:r w:rsidRPr="00B83F1E">
              <w:rPr>
                <w:rFonts w:ascii="Arial" w:hAnsi="Arial" w:cs="Arial"/>
                <w:sz w:val="21"/>
                <w:szCs w:val="21"/>
                <w:lang w:val="en-US"/>
              </w:rPr>
              <w:t xml:space="preserve"> / not avoiding discussions</w:t>
            </w:r>
          </w:p>
        </w:tc>
      </w:tr>
    </w:tbl>
    <w:p w14:paraId="795FCA7D" w14:textId="12BC33FA" w:rsidR="00767A7E" w:rsidRDefault="00767A7E" w:rsidP="00767A7E">
      <w:pPr>
        <w:spacing w:after="120" w:line="300" w:lineRule="auto"/>
        <w:jc w:val="center"/>
        <w:rPr>
          <w:rFonts w:ascii="Arial" w:hAnsi="Arial" w:cs="Arial"/>
          <w:b/>
          <w:u w:val="single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185"/>
      </w:tblGrid>
      <w:tr w:rsidR="00EF5532" w:rsidRPr="007B385F" w14:paraId="58556AF5" w14:textId="77777777" w:rsidTr="001E4848">
        <w:tc>
          <w:tcPr>
            <w:tcW w:w="10185" w:type="dxa"/>
            <w:vAlign w:val="center"/>
          </w:tcPr>
          <w:p w14:paraId="219F91CD" w14:textId="77777777" w:rsidR="00EF5532" w:rsidRDefault="00EF5532" w:rsidP="001E4848">
            <w:pPr>
              <w:spacing w:before="120" w:after="120"/>
              <w:ind w:left="1162" w:hanging="567"/>
              <w:jc w:val="center"/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pacing w:val="-4"/>
                <w:sz w:val="21"/>
                <w:szCs w:val="21"/>
                <w:lang w:val="en-US"/>
              </w:rPr>
              <w:t>BLM – A movement or a moment</w:t>
            </w:r>
            <w:r w:rsidRPr="00187098">
              <w:rPr>
                <w:rFonts w:ascii="Arial" w:hAnsi="Arial" w:cs="Arial"/>
                <w:b/>
                <w:spacing w:val="-12"/>
                <w:sz w:val="21"/>
                <w:szCs w:val="21"/>
                <w:lang w:val="en-US"/>
              </w:rPr>
              <w:t>?</w:t>
            </w:r>
          </w:p>
          <w:p w14:paraId="01A93AAC" w14:textId="77777777" w:rsidR="00EF5532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The blog entry by two professors from the University of Birmingham is a CTA against racism (some of the following examples should be given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);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543C79C0" w14:textId="77777777" w:rsidR="00EF5532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background:</w:t>
            </w:r>
          </w:p>
          <w:p w14:paraId="2F17AD78" w14:textId="77777777" w:rsidR="00EF5532" w:rsidRPr="005C5886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5C5886">
              <w:rPr>
                <w:rFonts w:ascii="Arial" w:hAnsi="Arial" w:cs="Arial"/>
                <w:sz w:val="21"/>
                <w:szCs w:val="21"/>
                <w:lang w:val="en-US"/>
              </w:rPr>
              <w:t xml:space="preserve">2020 = dramatic year: Australian </w:t>
            </w:r>
            <w:r w:rsidRPr="005C588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bushfires, </w:t>
            </w:r>
            <w:r w:rsidRPr="005C5886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the impeachment of President Donald Trump, the conviction of Harvey Weinstein,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the </w:t>
            </w:r>
            <w:r w:rsidRPr="005C5886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Coronavirus and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the </w:t>
            </w:r>
            <w:r w:rsidRPr="005C5886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>brutal death of George Floyd</w:t>
            </w:r>
          </w:p>
          <w:p w14:paraId="3A66970E" w14:textId="77777777" w:rsidR="00EF5532" w:rsidRPr="005C5886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George Floyd’s case = different from the start of BLM in 2013 because it went viral and thereby caused a huge outrage world-wide (for example protest marches of thousands of people, not only in the USA, universal social statement)</w:t>
            </w:r>
          </w:p>
          <w:p w14:paraId="0CBDD259" w14:textId="77777777" w:rsidR="00EF5532" w:rsidRPr="004019B6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Yet: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in order to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bring about change, people have to continue to be aware of racism in everyday life as well; education is necessary, (inter)cultural / “inter-racial” competence must be a noble goal, people have to take action  </w:t>
            </w:r>
          </w:p>
          <w:p w14:paraId="693B6723" w14:textId="77777777" w:rsidR="00EF5532" w:rsidRPr="004019B6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019B6">
              <w:rPr>
                <w:rFonts w:ascii="Arial" w:hAnsi="Arial" w:cs="Arial"/>
                <w:sz w:val="21"/>
                <w:szCs w:val="21"/>
                <w:lang w:val="en-US"/>
              </w:rPr>
              <w:t xml:space="preserve">Despite the huge impact of BLM, (former)* President Trump’s open racism and racial injustice during the Covid-19-pandemic have shown that there is still a long way ahead </w:t>
            </w:r>
          </w:p>
          <w:p w14:paraId="26F09C82" w14:textId="77777777" w:rsidR="00EF5532" w:rsidRPr="004019B6" w:rsidRDefault="00EF5532" w:rsidP="001E4848">
            <w:pPr>
              <w:pStyle w:val="Listenabsatz"/>
              <w:spacing w:before="120" w:after="120"/>
              <w:ind w:left="1021"/>
              <w:contextualSpacing w:val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7B0E530" w14:textId="53E8DE44" w:rsidR="00EF5532" w:rsidRPr="00840848" w:rsidRDefault="00EF5532" w:rsidP="00EF5532">
            <w:pPr>
              <w:pStyle w:val="Listenabsatz"/>
              <w:spacing w:before="120" w:after="120"/>
              <w:contextualSpacing w:val="0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*The</w:t>
            </w:r>
            <w:r w:rsidRPr="00401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blog entry was written shorty before the presidential election in 2020, lost by Donald Trump</w:t>
            </w:r>
          </w:p>
        </w:tc>
      </w:tr>
      <w:tr w:rsidR="00EF5532" w:rsidRPr="007B385F" w14:paraId="5468EAB6" w14:textId="77777777" w:rsidTr="001E4848">
        <w:tc>
          <w:tcPr>
            <w:tcW w:w="10185" w:type="dxa"/>
            <w:vAlign w:val="center"/>
          </w:tcPr>
          <w:p w14:paraId="5FF5110B" w14:textId="77777777" w:rsidR="00EF5532" w:rsidRPr="00187098" w:rsidRDefault="00EF5532" w:rsidP="001E4848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Changing the world</w:t>
            </w:r>
          </w:p>
          <w:p w14:paraId="579BBD3E" w14:textId="77777777" w:rsidR="00EF5532" w:rsidRPr="00D428CD" w:rsidRDefault="00EF5532" w:rsidP="001E4848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 w:rsidRPr="00767A7E"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Amnesty Internatio</w:t>
            </w:r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nal’s Write for Rights campaign is about the possibility to bring about change by writing letters, tweets or signing petitions; a</w:t>
            </w:r>
            <w:r w:rsidRPr="00D428CD">
              <w:rPr>
                <w:rFonts w:ascii="Arial" w:hAnsi="Arial" w:cs="Arial"/>
                <w:sz w:val="21"/>
                <w:szCs w:val="21"/>
                <w:lang w:val="en-US"/>
              </w:rPr>
              <w:t xml:space="preserve"> few examples are mentioned in this blog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entry (no detailed summaries are meant to be written, the following examples also sum up the main information only in a very concise way):</w:t>
            </w:r>
          </w:p>
          <w:p w14:paraId="0CB7E318" w14:textId="77777777" w:rsidR="00EF5532" w:rsidRPr="00BE69C3" w:rsidRDefault="00EF5532" w:rsidP="001E4848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>Saudia</w:t>
            </w:r>
            <w:proofErr w:type="spellEnd"/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 xml:space="preserve"> Arabia: release of </w:t>
            </w:r>
            <w:proofErr w:type="spellStart"/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>Nassima</w:t>
            </w:r>
            <w:proofErr w:type="spellEnd"/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 xml:space="preserve"> al-</w:t>
            </w:r>
            <w:proofErr w:type="spellStart"/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>Sada</w:t>
            </w:r>
            <w:proofErr w:type="spellEnd"/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>, women’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s rights activist; (</w:t>
            </w:r>
            <w:r w:rsidRPr="00BE69C3">
              <w:rPr>
                <w:rFonts w:ascii="Arial" w:hAnsi="Arial" w:cs="Arial"/>
                <w:sz w:val="21"/>
                <w:szCs w:val="21"/>
                <w:lang w:val="en-US"/>
              </w:rPr>
              <w:t>however, Amnesty supporters are asked to continue fighting for her full rights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)</w:t>
            </w:r>
          </w:p>
          <w:p w14:paraId="058FD4F5" w14:textId="77777777" w:rsidR="00EF5532" w:rsidRDefault="00EF5532" w:rsidP="001E4848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Burundi: release of</w:t>
            </w:r>
            <w:r w:rsidRPr="00D428CD">
              <w:rPr>
                <w:rFonts w:ascii="Arial" w:hAnsi="Arial" w:cs="Arial"/>
                <w:sz w:val="21"/>
                <w:szCs w:val="21"/>
                <w:lang w:val="en-US"/>
              </w:rPr>
              <w:t xml:space="preserve"> Germain </w:t>
            </w:r>
            <w:proofErr w:type="spellStart"/>
            <w:r w:rsidRPr="00D428CD">
              <w:rPr>
                <w:rFonts w:ascii="Arial" w:hAnsi="Arial" w:cs="Arial"/>
                <w:sz w:val="21"/>
                <w:szCs w:val="21"/>
                <w:lang w:val="en-US"/>
              </w:rPr>
              <w:t>Rukuki</w:t>
            </w:r>
            <w:proofErr w:type="spellEnd"/>
            <w:r w:rsidRPr="00D428CD">
              <w:rPr>
                <w:rFonts w:ascii="Arial" w:hAnsi="Arial" w:cs="Arial"/>
                <w:sz w:val="21"/>
                <w:szCs w:val="21"/>
                <w:lang w:val="en-US"/>
              </w:rPr>
              <w:t xml:space="preserve">, human rights activist,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originally </w:t>
            </w:r>
            <w:r w:rsidRPr="00D428CD">
              <w:rPr>
                <w:rFonts w:ascii="Arial" w:hAnsi="Arial" w:cs="Arial"/>
                <w:sz w:val="21"/>
                <w:szCs w:val="21"/>
                <w:lang w:val="en-US"/>
              </w:rPr>
              <w:t xml:space="preserve">sentenced to 32 years </w:t>
            </w:r>
          </w:p>
          <w:p w14:paraId="79E9682F" w14:textId="77777777" w:rsidR="00EF5532" w:rsidRDefault="00EF5532" w:rsidP="001E4848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South Africa: retrial of a murder case the </w:t>
            </w:r>
            <w:r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  <w:lang w:val="en-US"/>
              </w:rPr>
              <w:t>police had</w:t>
            </w:r>
            <w:r w:rsidRPr="00297BE5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  <w:lang w:val="en-US"/>
              </w:rPr>
              <w:t xml:space="preserve"> failed to make progress on </w:t>
            </w:r>
          </w:p>
          <w:p w14:paraId="0A4EC139" w14:textId="77777777" w:rsidR="00EF5532" w:rsidRPr="002F688B" w:rsidRDefault="00EF5532" w:rsidP="001E4848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F688B">
              <w:rPr>
                <w:rFonts w:ascii="Arial" w:hAnsi="Arial" w:cs="Arial"/>
                <w:sz w:val="21"/>
                <w:szCs w:val="21"/>
                <w:lang w:val="en-US"/>
              </w:rPr>
              <w:t xml:space="preserve">Algeria: release of Khaled </w:t>
            </w:r>
            <w:proofErr w:type="spellStart"/>
            <w:r w:rsidRPr="002F688B">
              <w:rPr>
                <w:rFonts w:ascii="Arial" w:hAnsi="Arial" w:cs="Arial"/>
                <w:sz w:val="21"/>
                <w:szCs w:val="21"/>
                <w:lang w:val="en-US"/>
              </w:rPr>
              <w:t>Drareni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who used to be</w:t>
            </w:r>
            <w:r w:rsidRPr="002F688B">
              <w:rPr>
                <w:rFonts w:ascii="Arial" w:hAnsi="Arial" w:cs="Arial"/>
                <w:sz w:val="21"/>
                <w:szCs w:val="21"/>
                <w:lang w:val="en-US"/>
              </w:rPr>
              <w:t xml:space="preserve"> imprisoned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due to</w:t>
            </w:r>
            <w:r w:rsidRPr="002F688B">
              <w:rPr>
                <w:rFonts w:ascii="Arial" w:hAnsi="Arial" w:cs="Arial"/>
                <w:sz w:val="21"/>
                <w:szCs w:val="21"/>
                <w:lang w:val="en-US"/>
              </w:rPr>
              <w:t xml:space="preserve"> lack of freedom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of press</w:t>
            </w:r>
            <w:r w:rsidRPr="002F688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(however what will happen to him in the end is not clear yet)</w:t>
            </w:r>
          </w:p>
          <w:p w14:paraId="0A575BC9" w14:textId="77777777" w:rsidR="00EF5532" w:rsidRPr="00B83F1E" w:rsidRDefault="00EF5532" w:rsidP="001E4848">
            <w:pPr>
              <w:pStyle w:val="Listenabsatz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F688B">
              <w:rPr>
                <w:rFonts w:ascii="Arial" w:hAnsi="Arial" w:cs="Arial"/>
                <w:sz w:val="21"/>
                <w:szCs w:val="21"/>
                <w:lang w:val="en-US"/>
              </w:rPr>
              <w:t>Colombia: Amnesty’s support helped Jani Silva, environmental activist, not to give up hope no matter how hard the circumstances</w:t>
            </w:r>
          </w:p>
        </w:tc>
      </w:tr>
      <w:tr w:rsidR="00EF5532" w:rsidRPr="007B385F" w14:paraId="7D0D266D" w14:textId="77777777" w:rsidTr="001E4848">
        <w:tc>
          <w:tcPr>
            <w:tcW w:w="10185" w:type="dxa"/>
            <w:vAlign w:val="center"/>
          </w:tcPr>
          <w:p w14:paraId="580126E6" w14:textId="77777777" w:rsidR="00EF5532" w:rsidRPr="00187098" w:rsidRDefault="00EF5532" w:rsidP="001E4848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187098">
              <w:rPr>
                <w:rFonts w:ascii="Arial" w:hAnsi="Arial" w:cs="Arial"/>
                <w:b/>
                <w:sz w:val="21"/>
                <w:szCs w:val="21"/>
                <w:lang w:val="en-US"/>
              </w:rPr>
              <w:t>On the Engender (#MeToo)</w:t>
            </w:r>
          </w:p>
          <w:p w14:paraId="3F3E3D24" w14:textId="77777777" w:rsidR="00EF5532" w:rsidRPr="00B945C2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283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 w:rsidRPr="00B945C2"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In her blog entry on #MeToo, the anonymous user comments on a debatable statement she overheard on the bus, in which the annoyance towards this topic was expressed, and uses this as a starting point to talk about gender violence</w:t>
            </w:r>
          </w:p>
          <w:p w14:paraId="51BC6405" w14:textId="77777777" w:rsidR="00EF5532" w:rsidRPr="00840848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ind w:left="454" w:hanging="283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She gives several examples, why such thoughtless remarks seem to ignore what is </w:t>
            </w:r>
            <w:proofErr w:type="gramStart"/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>actually going</w:t>
            </w:r>
            <w:proofErr w:type="gramEnd"/>
            <w:r>
              <w:rPr>
                <w:rStyle w:val="Hervorhebung"/>
                <w:rFonts w:ascii="Arial" w:hAnsi="Arial" w:cs="Arial"/>
                <w:i w:val="0"/>
                <w:color w:val="000000"/>
                <w:sz w:val="21"/>
                <w:szCs w:val="21"/>
                <w:lang w:val="en-US"/>
              </w:rPr>
              <w:t xml:space="preserve"> on (not all examples have to be mentioned in detail by the pupils), for instance:</w:t>
            </w:r>
          </w:p>
          <w:p w14:paraId="4355FAC5" w14:textId="77777777" w:rsidR="00EF5532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on 21 September 2017 (less than a month before #MeToo was used for the first time): 336 women + 310 children and young people were living </w:t>
            </w:r>
            <w:r w:rsidRPr="00840848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in a Women’s Aid refuge in Scotland</w:t>
            </w:r>
          </w:p>
          <w:p w14:paraId="54822112" w14:textId="77777777" w:rsidR="00EF5532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I</w:t>
            </w:r>
            <w:r w:rsidRPr="0091596D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>n 2017/18, 7,381 individuals (mostly women) had to report a rape or sexual assault in Scotland</w:t>
            </w:r>
          </w:p>
          <w:p w14:paraId="1F3B90A6" w14:textId="77777777" w:rsidR="00EF5532" w:rsidRPr="0091596D" w:rsidRDefault="00EF5532" w:rsidP="001E4848">
            <w:pPr>
              <w:pStyle w:val="Listenabsatz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</w:pPr>
            <w:r w:rsidRPr="0091596D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not to mention the daily “low-level” harassment or, on the contrary, the fear of elderly women to encounter a dangerous situation</w:t>
            </w:r>
          </w:p>
          <w:p w14:paraId="4B28F35D" w14:textId="77777777" w:rsidR="00EF5532" w:rsidRPr="00450424" w:rsidRDefault="00EF5532" w:rsidP="001E4848">
            <w:pPr>
              <w:spacing w:before="120" w:after="120"/>
              <w:jc w:val="right"/>
              <w:rPr>
                <w:rFonts w:ascii="Arial" w:hAnsi="Arial" w:cs="Arial"/>
                <w:sz w:val="4"/>
                <w:szCs w:val="4"/>
                <w:lang w:val="en-US"/>
              </w:rPr>
            </w:pPr>
            <w:r w:rsidRPr="00840848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2018 = first anniversary of #MeToo = 45 years since Edinburgh and Glasgow Women’s Aid first opened their refuges and 100 years women’s suffrage was granted (</w:t>
            </w:r>
            <w:r w:rsidRPr="00840848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sym w:font="Wingdings" w:char="F0E0"/>
            </w:r>
            <w:r w:rsidRPr="00840848">
              <w:rPr>
                <w:rStyle w:val="Hervorhebung"/>
                <w:rFonts w:ascii="Arial" w:hAnsi="Arial" w:cs="Arial"/>
                <w:i w:val="0"/>
                <w:iCs w:val="0"/>
                <w:sz w:val="21"/>
                <w:szCs w:val="21"/>
                <w:lang w:val="en-US"/>
              </w:rPr>
              <w:t xml:space="preserve"> two important milestones)</w:t>
            </w:r>
          </w:p>
        </w:tc>
      </w:tr>
    </w:tbl>
    <w:p w14:paraId="5922A84E" w14:textId="77777777" w:rsidR="00EF5532" w:rsidRPr="00CA79B3" w:rsidRDefault="00EF5532" w:rsidP="00767A7E">
      <w:pPr>
        <w:spacing w:after="120" w:line="300" w:lineRule="auto"/>
        <w:jc w:val="center"/>
        <w:rPr>
          <w:rFonts w:ascii="Arial" w:hAnsi="Arial" w:cs="Arial"/>
          <w:b/>
          <w:u w:val="single"/>
          <w:lang w:val="en-US"/>
        </w:rPr>
      </w:pPr>
    </w:p>
    <w:p w14:paraId="62033995" w14:textId="77777777" w:rsidR="003D49B9" w:rsidRDefault="003D49B9" w:rsidP="00CA79B3">
      <w:pPr>
        <w:rPr>
          <w:rFonts w:ascii="Arial" w:hAnsi="Arial" w:cs="Arial"/>
          <w:sz w:val="12"/>
          <w:szCs w:val="12"/>
          <w:lang w:val="en-US"/>
        </w:rPr>
      </w:pPr>
    </w:p>
    <w:sectPr w:rsidR="003D49B9" w:rsidSect="00916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992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33AA" w14:textId="77777777" w:rsidR="009765F0" w:rsidRDefault="009765F0" w:rsidP="00920F31">
      <w:pPr>
        <w:spacing w:after="0" w:line="240" w:lineRule="auto"/>
      </w:pPr>
      <w:r>
        <w:separator/>
      </w:r>
    </w:p>
  </w:endnote>
  <w:endnote w:type="continuationSeparator" w:id="0">
    <w:p w14:paraId="1292A37E" w14:textId="77777777" w:rsidR="009765F0" w:rsidRDefault="009765F0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C3EF" w14:textId="77777777" w:rsidR="007B385F" w:rsidRDefault="007B38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D6D6" w14:textId="2DECA8CC" w:rsidR="00767A7E" w:rsidRDefault="00767A7E" w:rsidP="007B38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3128" w14:textId="77777777" w:rsidR="007B385F" w:rsidRDefault="007B3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4341" w14:textId="77777777" w:rsidR="009765F0" w:rsidRDefault="009765F0" w:rsidP="00920F31">
      <w:pPr>
        <w:spacing w:after="0" w:line="240" w:lineRule="auto"/>
      </w:pPr>
      <w:r>
        <w:separator/>
      </w:r>
    </w:p>
  </w:footnote>
  <w:footnote w:type="continuationSeparator" w:id="0">
    <w:p w14:paraId="06A0C9F2" w14:textId="77777777" w:rsidR="009765F0" w:rsidRDefault="009765F0" w:rsidP="00920F31">
      <w:pPr>
        <w:spacing w:after="0" w:line="240" w:lineRule="auto"/>
      </w:pPr>
      <w:r>
        <w:continuationSeparator/>
      </w:r>
    </w:p>
  </w:footnote>
  <w:footnote w:id="1">
    <w:p w14:paraId="07573355" w14:textId="77777777" w:rsidR="004019B6" w:rsidRPr="004019B6" w:rsidRDefault="004019B6">
      <w:pPr>
        <w:pStyle w:val="Funotentext"/>
        <w:rPr>
          <w:rFonts w:ascii="Arial" w:hAnsi="Arial" w:cs="Arial"/>
        </w:rPr>
      </w:pPr>
      <w:r w:rsidRPr="004019B6">
        <w:rPr>
          <w:rStyle w:val="Funotenzeichen"/>
          <w:rFonts w:ascii="Arial" w:hAnsi="Arial" w:cs="Arial"/>
        </w:rPr>
        <w:footnoteRef/>
      </w:r>
      <w:r w:rsidRPr="004019B6">
        <w:rPr>
          <w:rFonts w:ascii="Arial" w:hAnsi="Arial" w:cs="Arial"/>
        </w:rPr>
        <w:t xml:space="preserve"> Andere Lösungen sind denkbar; prinzipiell sind jeweils die Hauptaspekte aufgelistet, die aber nicht in vollem Umfang </w:t>
      </w:r>
      <w:proofErr w:type="gramStart"/>
      <w:r w:rsidRPr="004019B6">
        <w:rPr>
          <w:rFonts w:ascii="Arial" w:hAnsi="Arial" w:cs="Arial"/>
        </w:rPr>
        <w:t>von den Schüler</w:t>
      </w:r>
      <w:proofErr w:type="gramEnd"/>
      <w:r w:rsidRPr="004019B6">
        <w:rPr>
          <w:rFonts w:ascii="Arial" w:hAnsi="Arial" w:cs="Arial"/>
        </w:rPr>
        <w:t>/innen erwartet werden (vgl. Aufgabenstellung)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C437" w14:textId="77777777" w:rsidR="007B385F" w:rsidRDefault="007B38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DC00" w14:textId="77777777" w:rsidR="00767A7E" w:rsidRPr="000B3CD6" w:rsidRDefault="00767A7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58C526" wp14:editId="00904A5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8128CD" wp14:editId="08070C9B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B43DE" wp14:editId="40E75FE9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856C9B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EA3D" w14:textId="77777777" w:rsidR="007B385F" w:rsidRDefault="007B38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71B0"/>
    <w:multiLevelType w:val="hybridMultilevel"/>
    <w:tmpl w:val="8F264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39CF"/>
    <w:multiLevelType w:val="hybridMultilevel"/>
    <w:tmpl w:val="D7AC9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99432">
    <w:abstractNumId w:val="1"/>
  </w:num>
  <w:num w:numId="2" w16cid:durableId="1599255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165D"/>
    <w:rsid w:val="00002B14"/>
    <w:rsid w:val="000217E9"/>
    <w:rsid w:val="0003146F"/>
    <w:rsid w:val="00041C62"/>
    <w:rsid w:val="00051E59"/>
    <w:rsid w:val="00060C12"/>
    <w:rsid w:val="00060CC2"/>
    <w:rsid w:val="000849CE"/>
    <w:rsid w:val="00087BF9"/>
    <w:rsid w:val="000A0862"/>
    <w:rsid w:val="000B3CD6"/>
    <w:rsid w:val="000C5E36"/>
    <w:rsid w:val="000E6FB9"/>
    <w:rsid w:val="000F1EB3"/>
    <w:rsid w:val="000F2FA6"/>
    <w:rsid w:val="00111769"/>
    <w:rsid w:val="00112F0B"/>
    <w:rsid w:val="00115C40"/>
    <w:rsid w:val="001307B4"/>
    <w:rsid w:val="00143506"/>
    <w:rsid w:val="001529FA"/>
    <w:rsid w:val="001571E2"/>
    <w:rsid w:val="001621ED"/>
    <w:rsid w:val="00183A7C"/>
    <w:rsid w:val="00187098"/>
    <w:rsid w:val="00197AC3"/>
    <w:rsid w:val="001A1FA2"/>
    <w:rsid w:val="001D07F5"/>
    <w:rsid w:val="001E20F7"/>
    <w:rsid w:val="00214133"/>
    <w:rsid w:val="00217787"/>
    <w:rsid w:val="00272367"/>
    <w:rsid w:val="002753C0"/>
    <w:rsid w:val="00276CE8"/>
    <w:rsid w:val="0029116F"/>
    <w:rsid w:val="00295DF3"/>
    <w:rsid w:val="00297BE5"/>
    <w:rsid w:val="002A5B0F"/>
    <w:rsid w:val="002B51D3"/>
    <w:rsid w:val="002C1565"/>
    <w:rsid w:val="002C221E"/>
    <w:rsid w:val="002C228A"/>
    <w:rsid w:val="002E17E2"/>
    <w:rsid w:val="002E5F02"/>
    <w:rsid w:val="002F45F1"/>
    <w:rsid w:val="002F6495"/>
    <w:rsid w:val="002F688B"/>
    <w:rsid w:val="00317AA2"/>
    <w:rsid w:val="00321C7B"/>
    <w:rsid w:val="003258BD"/>
    <w:rsid w:val="00343E1B"/>
    <w:rsid w:val="0034441B"/>
    <w:rsid w:val="0035657F"/>
    <w:rsid w:val="00371D56"/>
    <w:rsid w:val="00376B1A"/>
    <w:rsid w:val="00377777"/>
    <w:rsid w:val="003D49B9"/>
    <w:rsid w:val="003E1F09"/>
    <w:rsid w:val="003E5243"/>
    <w:rsid w:val="003E5B3D"/>
    <w:rsid w:val="003F1B24"/>
    <w:rsid w:val="003F317D"/>
    <w:rsid w:val="003F57B1"/>
    <w:rsid w:val="004019B6"/>
    <w:rsid w:val="00405583"/>
    <w:rsid w:val="0040601E"/>
    <w:rsid w:val="0041216B"/>
    <w:rsid w:val="00426ED0"/>
    <w:rsid w:val="00432BA4"/>
    <w:rsid w:val="00432CF6"/>
    <w:rsid w:val="00444850"/>
    <w:rsid w:val="00450424"/>
    <w:rsid w:val="00464BF7"/>
    <w:rsid w:val="00464E52"/>
    <w:rsid w:val="004669EC"/>
    <w:rsid w:val="00470B7B"/>
    <w:rsid w:val="00470ED8"/>
    <w:rsid w:val="004835D7"/>
    <w:rsid w:val="004A1256"/>
    <w:rsid w:val="004A583B"/>
    <w:rsid w:val="004A58B8"/>
    <w:rsid w:val="004C18AB"/>
    <w:rsid w:val="004E57D7"/>
    <w:rsid w:val="00500EDE"/>
    <w:rsid w:val="00520EFD"/>
    <w:rsid w:val="00541CBA"/>
    <w:rsid w:val="00583006"/>
    <w:rsid w:val="00583331"/>
    <w:rsid w:val="00584A72"/>
    <w:rsid w:val="00593444"/>
    <w:rsid w:val="00593F48"/>
    <w:rsid w:val="005A0514"/>
    <w:rsid w:val="005C0C00"/>
    <w:rsid w:val="005C51BB"/>
    <w:rsid w:val="005C5886"/>
    <w:rsid w:val="005E1914"/>
    <w:rsid w:val="005E6047"/>
    <w:rsid w:val="005F78D5"/>
    <w:rsid w:val="00602E95"/>
    <w:rsid w:val="00603E0D"/>
    <w:rsid w:val="0063038F"/>
    <w:rsid w:val="00637E6B"/>
    <w:rsid w:val="0064323D"/>
    <w:rsid w:val="0064670F"/>
    <w:rsid w:val="00646BE7"/>
    <w:rsid w:val="00651171"/>
    <w:rsid w:val="00653BBC"/>
    <w:rsid w:val="006639A6"/>
    <w:rsid w:val="00665D5A"/>
    <w:rsid w:val="00670A9D"/>
    <w:rsid w:val="0067394E"/>
    <w:rsid w:val="006A38E9"/>
    <w:rsid w:val="006A3949"/>
    <w:rsid w:val="006C7AD6"/>
    <w:rsid w:val="006D176E"/>
    <w:rsid w:val="006D26AB"/>
    <w:rsid w:val="006D4CAB"/>
    <w:rsid w:val="006D7DE0"/>
    <w:rsid w:val="006E18A5"/>
    <w:rsid w:val="006F2663"/>
    <w:rsid w:val="0070586A"/>
    <w:rsid w:val="0070633B"/>
    <w:rsid w:val="007121B2"/>
    <w:rsid w:val="00716D6B"/>
    <w:rsid w:val="00717F74"/>
    <w:rsid w:val="007271B9"/>
    <w:rsid w:val="00733CA2"/>
    <w:rsid w:val="00740B6D"/>
    <w:rsid w:val="0075344B"/>
    <w:rsid w:val="00755C5F"/>
    <w:rsid w:val="00767A7E"/>
    <w:rsid w:val="00777295"/>
    <w:rsid w:val="007774A6"/>
    <w:rsid w:val="0078355D"/>
    <w:rsid w:val="007871DF"/>
    <w:rsid w:val="00797912"/>
    <w:rsid w:val="007A79A0"/>
    <w:rsid w:val="007B385F"/>
    <w:rsid w:val="007D7455"/>
    <w:rsid w:val="007E32C0"/>
    <w:rsid w:val="007E6917"/>
    <w:rsid w:val="007F303B"/>
    <w:rsid w:val="008229CC"/>
    <w:rsid w:val="008301A7"/>
    <w:rsid w:val="00840848"/>
    <w:rsid w:val="008463B2"/>
    <w:rsid w:val="00855CF0"/>
    <w:rsid w:val="00856C9B"/>
    <w:rsid w:val="008672C9"/>
    <w:rsid w:val="00867545"/>
    <w:rsid w:val="00896684"/>
    <w:rsid w:val="008A2C41"/>
    <w:rsid w:val="008B40CD"/>
    <w:rsid w:val="008B6287"/>
    <w:rsid w:val="008C0EF3"/>
    <w:rsid w:val="008C67A5"/>
    <w:rsid w:val="008E2ACC"/>
    <w:rsid w:val="008E2C97"/>
    <w:rsid w:val="008E6352"/>
    <w:rsid w:val="009017FF"/>
    <w:rsid w:val="00903600"/>
    <w:rsid w:val="0091596D"/>
    <w:rsid w:val="009162E5"/>
    <w:rsid w:val="00920F31"/>
    <w:rsid w:val="00922AD4"/>
    <w:rsid w:val="009343E7"/>
    <w:rsid w:val="0093519B"/>
    <w:rsid w:val="00941236"/>
    <w:rsid w:val="009440C4"/>
    <w:rsid w:val="009477AB"/>
    <w:rsid w:val="00956FF4"/>
    <w:rsid w:val="00960F9A"/>
    <w:rsid w:val="00962531"/>
    <w:rsid w:val="00964773"/>
    <w:rsid w:val="0096645E"/>
    <w:rsid w:val="00970658"/>
    <w:rsid w:val="009765F0"/>
    <w:rsid w:val="00984A98"/>
    <w:rsid w:val="009A24CA"/>
    <w:rsid w:val="009C0935"/>
    <w:rsid w:val="009D6CF6"/>
    <w:rsid w:val="009E31E8"/>
    <w:rsid w:val="009E3723"/>
    <w:rsid w:val="009E5E1D"/>
    <w:rsid w:val="009F5EE4"/>
    <w:rsid w:val="00A016C6"/>
    <w:rsid w:val="00A2799D"/>
    <w:rsid w:val="00A35BAB"/>
    <w:rsid w:val="00A37DB3"/>
    <w:rsid w:val="00A4196A"/>
    <w:rsid w:val="00A525BF"/>
    <w:rsid w:val="00A56029"/>
    <w:rsid w:val="00A57776"/>
    <w:rsid w:val="00A70F5F"/>
    <w:rsid w:val="00A72AF6"/>
    <w:rsid w:val="00A77316"/>
    <w:rsid w:val="00A8136E"/>
    <w:rsid w:val="00AA1278"/>
    <w:rsid w:val="00AA40E7"/>
    <w:rsid w:val="00AB4FFB"/>
    <w:rsid w:val="00AB544A"/>
    <w:rsid w:val="00AB7EEF"/>
    <w:rsid w:val="00AC2C3E"/>
    <w:rsid w:val="00AC2E03"/>
    <w:rsid w:val="00AC6AF4"/>
    <w:rsid w:val="00AC7E28"/>
    <w:rsid w:val="00AD14C3"/>
    <w:rsid w:val="00AD1D46"/>
    <w:rsid w:val="00AE5769"/>
    <w:rsid w:val="00AE6785"/>
    <w:rsid w:val="00AF5879"/>
    <w:rsid w:val="00B13053"/>
    <w:rsid w:val="00B17369"/>
    <w:rsid w:val="00B256EA"/>
    <w:rsid w:val="00B327BF"/>
    <w:rsid w:val="00B44F05"/>
    <w:rsid w:val="00B45779"/>
    <w:rsid w:val="00B53389"/>
    <w:rsid w:val="00B739B8"/>
    <w:rsid w:val="00B75ACB"/>
    <w:rsid w:val="00B77FA7"/>
    <w:rsid w:val="00B83F1E"/>
    <w:rsid w:val="00B906AA"/>
    <w:rsid w:val="00B945C2"/>
    <w:rsid w:val="00BB2BCA"/>
    <w:rsid w:val="00BB443F"/>
    <w:rsid w:val="00BC3B57"/>
    <w:rsid w:val="00BC4833"/>
    <w:rsid w:val="00BC7F62"/>
    <w:rsid w:val="00BD21D7"/>
    <w:rsid w:val="00BE3307"/>
    <w:rsid w:val="00BE352E"/>
    <w:rsid w:val="00BE69C3"/>
    <w:rsid w:val="00BF72C4"/>
    <w:rsid w:val="00C02119"/>
    <w:rsid w:val="00C1509E"/>
    <w:rsid w:val="00C24FAF"/>
    <w:rsid w:val="00C34791"/>
    <w:rsid w:val="00C34B29"/>
    <w:rsid w:val="00C35794"/>
    <w:rsid w:val="00C37C0C"/>
    <w:rsid w:val="00C42287"/>
    <w:rsid w:val="00C521FA"/>
    <w:rsid w:val="00C7729C"/>
    <w:rsid w:val="00C77489"/>
    <w:rsid w:val="00C84FD3"/>
    <w:rsid w:val="00C95F47"/>
    <w:rsid w:val="00C96BE5"/>
    <w:rsid w:val="00CA06A9"/>
    <w:rsid w:val="00CA1767"/>
    <w:rsid w:val="00CA4DC3"/>
    <w:rsid w:val="00CA6838"/>
    <w:rsid w:val="00CA79B3"/>
    <w:rsid w:val="00CB7074"/>
    <w:rsid w:val="00CD37A6"/>
    <w:rsid w:val="00CD3E6D"/>
    <w:rsid w:val="00CD6B2D"/>
    <w:rsid w:val="00CE0FEA"/>
    <w:rsid w:val="00D02146"/>
    <w:rsid w:val="00D022C2"/>
    <w:rsid w:val="00D03249"/>
    <w:rsid w:val="00D12893"/>
    <w:rsid w:val="00D13CDD"/>
    <w:rsid w:val="00D32D83"/>
    <w:rsid w:val="00D428CD"/>
    <w:rsid w:val="00D4594D"/>
    <w:rsid w:val="00D459D1"/>
    <w:rsid w:val="00D4641F"/>
    <w:rsid w:val="00D52544"/>
    <w:rsid w:val="00D63982"/>
    <w:rsid w:val="00D6796D"/>
    <w:rsid w:val="00D67EF7"/>
    <w:rsid w:val="00D70F24"/>
    <w:rsid w:val="00D85162"/>
    <w:rsid w:val="00D85255"/>
    <w:rsid w:val="00D92F5B"/>
    <w:rsid w:val="00DB4DF3"/>
    <w:rsid w:val="00DB5658"/>
    <w:rsid w:val="00DC11C5"/>
    <w:rsid w:val="00DC702E"/>
    <w:rsid w:val="00DE305E"/>
    <w:rsid w:val="00DE3BCA"/>
    <w:rsid w:val="00DF6F35"/>
    <w:rsid w:val="00E02907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426F"/>
    <w:rsid w:val="00E846C5"/>
    <w:rsid w:val="00E8551D"/>
    <w:rsid w:val="00E8600C"/>
    <w:rsid w:val="00E903F0"/>
    <w:rsid w:val="00E949F2"/>
    <w:rsid w:val="00EA03A4"/>
    <w:rsid w:val="00EA21A7"/>
    <w:rsid w:val="00EA5B44"/>
    <w:rsid w:val="00EB12EB"/>
    <w:rsid w:val="00EB6D51"/>
    <w:rsid w:val="00EC5D2E"/>
    <w:rsid w:val="00ED41A4"/>
    <w:rsid w:val="00EF5532"/>
    <w:rsid w:val="00F06579"/>
    <w:rsid w:val="00F07733"/>
    <w:rsid w:val="00F20A07"/>
    <w:rsid w:val="00F26396"/>
    <w:rsid w:val="00F35EBF"/>
    <w:rsid w:val="00F3642C"/>
    <w:rsid w:val="00F45149"/>
    <w:rsid w:val="00F46658"/>
    <w:rsid w:val="00F743BB"/>
    <w:rsid w:val="00F75EF4"/>
    <w:rsid w:val="00F766BB"/>
    <w:rsid w:val="00FA6907"/>
    <w:rsid w:val="00FB6B9D"/>
    <w:rsid w:val="00FC5B25"/>
    <w:rsid w:val="00FC615D"/>
    <w:rsid w:val="00FE2847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D640AD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87098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767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7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6DDD-2A20-435F-9156-328DF3CC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2</cp:revision>
  <cp:lastPrinted>2023-02-18T19:22:00Z</cp:lastPrinted>
  <dcterms:created xsi:type="dcterms:W3CDTF">2023-02-18T19:22:00Z</dcterms:created>
  <dcterms:modified xsi:type="dcterms:W3CDTF">2023-02-18T19:22:00Z</dcterms:modified>
</cp:coreProperties>
</file>